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D6" w:rsidRPr="00F233B6" w:rsidRDefault="009A06D6" w:rsidP="009A06D6">
      <w:pPr>
        <w:spacing w:before="60" w:after="60"/>
        <w:rPr>
          <w:b/>
          <w:color w:val="0000FF"/>
          <w:sz w:val="28"/>
        </w:rPr>
      </w:pPr>
      <w:bookmarkStart w:id="0" w:name="OLE_LINK1"/>
      <w:bookmarkStart w:id="1" w:name="OLE_LINK2"/>
      <w:r>
        <w:rPr>
          <w:b/>
          <w:color w:val="0000FF"/>
          <w:sz w:val="28"/>
        </w:rPr>
        <w:t xml:space="preserve">Core Indicators </w:t>
      </w:r>
      <w:proofErr w:type="gramStart"/>
      <w:r>
        <w:rPr>
          <w:b/>
          <w:color w:val="0000FF"/>
          <w:sz w:val="28"/>
        </w:rPr>
        <w:t>For</w:t>
      </w:r>
      <w:proofErr w:type="gramEnd"/>
      <w:r>
        <w:rPr>
          <w:b/>
          <w:color w:val="0000FF"/>
          <w:sz w:val="28"/>
        </w:rPr>
        <w:t xml:space="preserve"> Public Health In </w:t>
      </w:r>
      <w:smartTag w:uri="urn:schemas-microsoft-com:office:smarttags" w:element="State">
        <w:smartTag w:uri="urn:schemas-microsoft-com:office:smarttags" w:element="place">
          <w:r>
            <w:rPr>
              <w:b/>
              <w:color w:val="0000FF"/>
              <w:sz w:val="28"/>
            </w:rPr>
            <w:t>Ontario</w:t>
          </w:r>
        </w:smartTag>
      </w:smartTag>
    </w:p>
    <w:p w:rsidR="0051042A" w:rsidRPr="00F5636C" w:rsidRDefault="0051042A" w:rsidP="00590F7E">
      <w:pPr>
        <w:pStyle w:val="Heading1"/>
        <w:tabs>
          <w:tab w:val="left" w:pos="8640"/>
        </w:tabs>
        <w:spacing w:before="60" w:after="60"/>
        <w:rPr>
          <w:sz w:val="22"/>
          <w:szCs w:val="22"/>
        </w:rPr>
      </w:pPr>
      <w:r>
        <w:rPr>
          <w:sz w:val="22"/>
          <w:szCs w:val="22"/>
        </w:rPr>
        <w:t>Core Indicators Work Group</w:t>
      </w:r>
      <w:r w:rsidR="001B5CD4">
        <w:rPr>
          <w:sz w:val="22"/>
          <w:szCs w:val="22"/>
        </w:rPr>
        <w:t>:</w:t>
      </w:r>
      <w:r>
        <w:rPr>
          <w:sz w:val="22"/>
          <w:szCs w:val="22"/>
        </w:rPr>
        <w:t xml:space="preserve"> </w:t>
      </w:r>
      <w:r w:rsidR="001B5CD4">
        <w:rPr>
          <w:sz w:val="22"/>
          <w:szCs w:val="22"/>
        </w:rPr>
        <w:t xml:space="preserve"> Social Determinants of Health Subgroup</w:t>
      </w:r>
      <w:bookmarkEnd w:id="0"/>
      <w:bookmarkEnd w:id="1"/>
      <w:r w:rsidR="00590F7E">
        <w:rPr>
          <w:sz w:val="22"/>
          <w:szCs w:val="22"/>
        </w:rPr>
        <w:tab/>
      </w:r>
    </w:p>
    <w:p w:rsidR="00D44F41" w:rsidRDefault="00D44F41" w:rsidP="00D44F41">
      <w:pPr>
        <w:rPr>
          <w:b/>
          <w:color w:val="FF0000"/>
          <w:sz w:val="24"/>
          <w:szCs w:val="24"/>
        </w:rPr>
      </w:pPr>
      <w:r w:rsidRPr="00DE73D7">
        <w:rPr>
          <w:b/>
          <w:color w:val="FF0000"/>
          <w:sz w:val="24"/>
          <w:szCs w:val="24"/>
        </w:rPr>
        <w:tab/>
      </w:r>
    </w:p>
    <w:p w:rsidR="00646B27" w:rsidRDefault="00D44F41" w:rsidP="001B5CD4">
      <w:pPr>
        <w:autoSpaceDE w:val="0"/>
        <w:autoSpaceDN w:val="0"/>
        <w:adjustRightInd w:val="0"/>
        <w:rPr>
          <w:rFonts w:cs="Arial"/>
        </w:rPr>
      </w:pPr>
      <w:r w:rsidRPr="0083078C">
        <w:rPr>
          <w:b/>
          <w:color w:val="FF0000"/>
          <w:sz w:val="24"/>
          <w:szCs w:val="24"/>
        </w:rPr>
        <w:t xml:space="preserve">Teleconference Information:  </w:t>
      </w:r>
      <w:r w:rsidR="0057008C" w:rsidRPr="0083078C">
        <w:rPr>
          <w:rFonts w:cs="Arial"/>
          <w:b/>
          <w:sz w:val="24"/>
          <w:szCs w:val="24"/>
        </w:rPr>
        <w:t>Dial</w:t>
      </w:r>
      <w:r w:rsidRPr="00646B27">
        <w:rPr>
          <w:rFonts w:cs="Arial"/>
          <w:b/>
          <w:sz w:val="24"/>
          <w:szCs w:val="24"/>
        </w:rPr>
        <w:t xml:space="preserve"> </w:t>
      </w:r>
      <w:r w:rsidR="001B5CD4" w:rsidRPr="00646B27">
        <w:rPr>
          <w:rFonts w:cs="Arial"/>
          <w:sz w:val="24"/>
          <w:szCs w:val="24"/>
        </w:rPr>
        <w:t>Local:  (416) 850-2050</w:t>
      </w:r>
      <w:r w:rsidR="00646B27">
        <w:rPr>
          <w:rFonts w:cs="Arial"/>
          <w:sz w:val="24"/>
          <w:szCs w:val="24"/>
        </w:rPr>
        <w:t xml:space="preserve">; </w:t>
      </w:r>
      <w:r w:rsidR="001B5CD4" w:rsidRPr="00646B27">
        <w:rPr>
          <w:rFonts w:cs="Arial"/>
          <w:sz w:val="24"/>
          <w:szCs w:val="24"/>
        </w:rPr>
        <w:t>Toll-Free:  1-866-261-6767</w:t>
      </w:r>
      <w:r w:rsidR="0057008C" w:rsidRPr="0083078C">
        <w:rPr>
          <w:rFonts w:cs="Arial"/>
        </w:rPr>
        <w:t xml:space="preserve"> </w:t>
      </w:r>
    </w:p>
    <w:p w:rsidR="001B5CD4" w:rsidRPr="00646B27" w:rsidRDefault="00646B27" w:rsidP="00646B27">
      <w:pPr>
        <w:autoSpaceDE w:val="0"/>
        <w:autoSpaceDN w:val="0"/>
        <w:adjustRightInd w:val="0"/>
        <w:ind w:left="2880"/>
        <w:rPr>
          <w:rFonts w:cs="Arial"/>
          <w:sz w:val="24"/>
          <w:szCs w:val="24"/>
        </w:rPr>
      </w:pPr>
      <w:r>
        <w:rPr>
          <w:rFonts w:cs="Arial"/>
        </w:rPr>
        <w:t xml:space="preserve">        </w:t>
      </w:r>
      <w:r w:rsidR="00D44F41" w:rsidRPr="0083078C">
        <w:rPr>
          <w:rFonts w:cs="Arial"/>
          <w:b/>
          <w:sz w:val="24"/>
          <w:szCs w:val="24"/>
        </w:rPr>
        <w:t>Pass</w:t>
      </w:r>
      <w:r w:rsidR="006C02B4" w:rsidRPr="0083078C">
        <w:rPr>
          <w:rFonts w:cs="Arial"/>
          <w:b/>
          <w:sz w:val="24"/>
          <w:szCs w:val="24"/>
        </w:rPr>
        <w:t xml:space="preserve"> C</w:t>
      </w:r>
      <w:r w:rsidR="00D44F41" w:rsidRPr="0083078C">
        <w:rPr>
          <w:rFonts w:cs="Arial"/>
          <w:b/>
          <w:sz w:val="24"/>
          <w:szCs w:val="24"/>
        </w:rPr>
        <w:t>ode: </w:t>
      </w:r>
      <w:r w:rsidR="0056097A">
        <w:rPr>
          <w:rFonts w:cs="Arial"/>
          <w:sz w:val="24"/>
          <w:szCs w:val="24"/>
        </w:rPr>
        <w:t>659284</w:t>
      </w:r>
      <w:r w:rsidR="001B5CD4" w:rsidRPr="00646B27">
        <w:rPr>
          <w:rFonts w:cs="Arial"/>
          <w:sz w:val="24"/>
          <w:szCs w:val="24"/>
        </w:rPr>
        <w:t>#</w:t>
      </w:r>
    </w:p>
    <w:p w:rsidR="00D44F41" w:rsidRPr="0057008C" w:rsidRDefault="00D44F41" w:rsidP="001B5CD4">
      <w:pPr>
        <w:rPr>
          <w:rFonts w:cs="Arial"/>
          <w:b/>
          <w:sz w:val="24"/>
          <w:szCs w:val="24"/>
        </w:rPr>
      </w:pPr>
    </w:p>
    <w:p w:rsidR="00A335C7" w:rsidRPr="00DE73D7" w:rsidRDefault="00A335C7" w:rsidP="00D44F41">
      <w:pPr>
        <w:rPr>
          <w:rFonts w:ascii="Times New Roman" w:hAnsi="Times New Roman"/>
          <w:b/>
          <w:sz w:val="24"/>
          <w:szCs w:val="24"/>
        </w:rPr>
      </w:pPr>
    </w:p>
    <w:tbl>
      <w:tblPr>
        <w:tblW w:w="9090" w:type="dxa"/>
        <w:tblInd w:w="198" w:type="dxa"/>
        <w:tblLayout w:type="fixed"/>
        <w:tblLook w:val="0000"/>
      </w:tblPr>
      <w:tblGrid>
        <w:gridCol w:w="1890"/>
        <w:gridCol w:w="7200"/>
      </w:tblGrid>
      <w:tr w:rsidR="00744E62">
        <w:tc>
          <w:tcPr>
            <w:tcW w:w="1890" w:type="dxa"/>
            <w:vAlign w:val="center"/>
          </w:tcPr>
          <w:p w:rsidR="00744E62" w:rsidRDefault="00744E62">
            <w:pPr>
              <w:rPr>
                <w:b/>
                <w:sz w:val="24"/>
              </w:rPr>
            </w:pPr>
            <w:r>
              <w:rPr>
                <w:b/>
                <w:sz w:val="24"/>
              </w:rPr>
              <w:t>Date:</w:t>
            </w:r>
          </w:p>
        </w:tc>
        <w:tc>
          <w:tcPr>
            <w:tcW w:w="7200" w:type="dxa"/>
            <w:vAlign w:val="center"/>
          </w:tcPr>
          <w:p w:rsidR="00744E62" w:rsidRPr="00630AB5" w:rsidRDefault="001B5CD4" w:rsidP="00B8526D">
            <w:pPr>
              <w:rPr>
                <w:sz w:val="24"/>
                <w:szCs w:val="24"/>
              </w:rPr>
            </w:pPr>
            <w:r>
              <w:rPr>
                <w:sz w:val="24"/>
                <w:szCs w:val="24"/>
              </w:rPr>
              <w:t xml:space="preserve">Wednesday, </w:t>
            </w:r>
            <w:r w:rsidR="00B8526D">
              <w:rPr>
                <w:sz w:val="24"/>
                <w:szCs w:val="24"/>
              </w:rPr>
              <w:t>May 30</w:t>
            </w:r>
            <w:r>
              <w:rPr>
                <w:sz w:val="24"/>
                <w:szCs w:val="24"/>
              </w:rPr>
              <w:t>, 201</w:t>
            </w:r>
            <w:r w:rsidR="00B8526D">
              <w:rPr>
                <w:sz w:val="24"/>
                <w:szCs w:val="24"/>
              </w:rPr>
              <w:t>2</w:t>
            </w:r>
          </w:p>
        </w:tc>
      </w:tr>
      <w:tr w:rsidR="00744E62">
        <w:tc>
          <w:tcPr>
            <w:tcW w:w="1890" w:type="dxa"/>
            <w:vAlign w:val="center"/>
          </w:tcPr>
          <w:p w:rsidR="00744E62" w:rsidRDefault="00744E62">
            <w:pPr>
              <w:rPr>
                <w:b/>
                <w:sz w:val="24"/>
              </w:rPr>
            </w:pPr>
            <w:r>
              <w:rPr>
                <w:b/>
                <w:sz w:val="24"/>
              </w:rPr>
              <w:t>Location:</w:t>
            </w:r>
          </w:p>
        </w:tc>
        <w:tc>
          <w:tcPr>
            <w:tcW w:w="7200" w:type="dxa"/>
            <w:vAlign w:val="center"/>
          </w:tcPr>
          <w:p w:rsidR="00744E62" w:rsidRPr="00630AB5" w:rsidRDefault="001B5CD4">
            <w:pPr>
              <w:rPr>
                <w:sz w:val="24"/>
                <w:szCs w:val="24"/>
              </w:rPr>
            </w:pPr>
            <w:r>
              <w:rPr>
                <w:sz w:val="24"/>
                <w:szCs w:val="24"/>
              </w:rPr>
              <w:t>Teleconference</w:t>
            </w:r>
          </w:p>
        </w:tc>
      </w:tr>
      <w:tr w:rsidR="00744E62">
        <w:tc>
          <w:tcPr>
            <w:tcW w:w="1890" w:type="dxa"/>
            <w:vAlign w:val="center"/>
          </w:tcPr>
          <w:p w:rsidR="00744E62" w:rsidRDefault="00744E62">
            <w:pPr>
              <w:rPr>
                <w:b/>
                <w:sz w:val="24"/>
              </w:rPr>
            </w:pPr>
            <w:r>
              <w:rPr>
                <w:b/>
                <w:sz w:val="24"/>
              </w:rPr>
              <w:t>Time:</w:t>
            </w:r>
          </w:p>
        </w:tc>
        <w:tc>
          <w:tcPr>
            <w:tcW w:w="7200" w:type="dxa"/>
            <w:vAlign w:val="center"/>
          </w:tcPr>
          <w:p w:rsidR="00744E62" w:rsidRPr="00630AB5" w:rsidRDefault="001B5CD4">
            <w:pPr>
              <w:rPr>
                <w:sz w:val="24"/>
                <w:szCs w:val="24"/>
              </w:rPr>
            </w:pPr>
            <w:smartTag w:uri="urn:schemas-microsoft-com:office:smarttags" w:element="time">
              <w:smartTagPr>
                <w:attr w:name="Minute" w:val="30"/>
                <w:attr w:name="Hour" w:val="13"/>
              </w:smartTagPr>
              <w:r>
                <w:rPr>
                  <w:sz w:val="24"/>
                  <w:szCs w:val="24"/>
                </w:rPr>
                <w:t>1:30-3:3</w:t>
              </w:r>
              <w:r w:rsidR="00386D14">
                <w:rPr>
                  <w:sz w:val="24"/>
                  <w:szCs w:val="24"/>
                </w:rPr>
                <w:t>0</w:t>
              </w:r>
              <w:r>
                <w:rPr>
                  <w:sz w:val="24"/>
                  <w:szCs w:val="24"/>
                </w:rPr>
                <w:t>pm</w:t>
              </w:r>
            </w:smartTag>
          </w:p>
        </w:tc>
      </w:tr>
      <w:tr w:rsidR="00744E62">
        <w:tc>
          <w:tcPr>
            <w:tcW w:w="1890" w:type="dxa"/>
            <w:vAlign w:val="center"/>
          </w:tcPr>
          <w:p w:rsidR="00744E62" w:rsidRDefault="00744E62">
            <w:pPr>
              <w:rPr>
                <w:b/>
                <w:sz w:val="24"/>
              </w:rPr>
            </w:pPr>
            <w:r>
              <w:rPr>
                <w:b/>
                <w:sz w:val="24"/>
              </w:rPr>
              <w:t>Recorder:</w:t>
            </w:r>
          </w:p>
        </w:tc>
        <w:tc>
          <w:tcPr>
            <w:tcW w:w="7200" w:type="dxa"/>
            <w:vAlign w:val="center"/>
          </w:tcPr>
          <w:p w:rsidR="00744E62" w:rsidRPr="00630AB5" w:rsidRDefault="00A47EA7">
            <w:pPr>
              <w:rPr>
                <w:sz w:val="24"/>
                <w:szCs w:val="24"/>
              </w:rPr>
            </w:pPr>
            <w:r>
              <w:rPr>
                <w:sz w:val="24"/>
                <w:szCs w:val="24"/>
              </w:rPr>
              <w:t>Cam McDermaid</w:t>
            </w:r>
          </w:p>
        </w:tc>
      </w:tr>
      <w:tr w:rsidR="00744E62">
        <w:tc>
          <w:tcPr>
            <w:tcW w:w="1890" w:type="dxa"/>
            <w:vAlign w:val="center"/>
          </w:tcPr>
          <w:p w:rsidR="00744E62" w:rsidRDefault="00744E62">
            <w:pPr>
              <w:rPr>
                <w:b/>
                <w:sz w:val="24"/>
              </w:rPr>
            </w:pPr>
            <w:r>
              <w:rPr>
                <w:b/>
                <w:sz w:val="24"/>
              </w:rPr>
              <w:t>Chair:</w:t>
            </w:r>
          </w:p>
        </w:tc>
        <w:tc>
          <w:tcPr>
            <w:tcW w:w="7200" w:type="dxa"/>
            <w:vAlign w:val="center"/>
          </w:tcPr>
          <w:p w:rsidR="00744E62" w:rsidRPr="00630AB5" w:rsidRDefault="006E0469">
            <w:pPr>
              <w:pStyle w:val="Heading3"/>
              <w:rPr>
                <w:szCs w:val="24"/>
              </w:rPr>
            </w:pPr>
            <w:r>
              <w:rPr>
                <w:szCs w:val="24"/>
              </w:rPr>
              <w:t>Cam McDermaid</w:t>
            </w:r>
          </w:p>
        </w:tc>
      </w:tr>
      <w:tr w:rsidR="001B5CD4" w:rsidRPr="00630AB5">
        <w:tc>
          <w:tcPr>
            <w:tcW w:w="1890" w:type="dxa"/>
            <w:vAlign w:val="center"/>
          </w:tcPr>
          <w:p w:rsidR="001B5CD4" w:rsidRDefault="001B5CD4" w:rsidP="00CB24D6">
            <w:pPr>
              <w:rPr>
                <w:b/>
                <w:sz w:val="24"/>
              </w:rPr>
            </w:pPr>
            <w:r>
              <w:rPr>
                <w:b/>
                <w:sz w:val="24"/>
              </w:rPr>
              <w:t>Attendees:</w:t>
            </w:r>
            <w:r w:rsidR="00A47EA7">
              <w:rPr>
                <w:b/>
                <w:sz w:val="24"/>
              </w:rPr>
              <w:t xml:space="preserve"> </w:t>
            </w:r>
          </w:p>
        </w:tc>
        <w:tc>
          <w:tcPr>
            <w:tcW w:w="7200" w:type="dxa"/>
            <w:vAlign w:val="center"/>
          </w:tcPr>
          <w:p w:rsidR="001B5CD4" w:rsidRPr="00630AB5" w:rsidRDefault="00B8526D" w:rsidP="00CB24D6">
            <w:pPr>
              <w:pStyle w:val="Heading3"/>
              <w:rPr>
                <w:szCs w:val="24"/>
              </w:rPr>
            </w:pPr>
            <w:r>
              <w:rPr>
                <w:szCs w:val="24"/>
              </w:rPr>
              <w:t xml:space="preserve"> </w:t>
            </w:r>
            <w:r w:rsidR="00A47EA7">
              <w:rPr>
                <w:szCs w:val="24"/>
              </w:rPr>
              <w:t>Luanne Jamieson, Bill Kou; Dinna Loz</w:t>
            </w:r>
            <w:r w:rsidR="00361411">
              <w:rPr>
                <w:szCs w:val="24"/>
              </w:rPr>
              <w:t>ano; Cam McDermaid, Virginian M</w:t>
            </w:r>
            <w:r w:rsidR="00A47EA7">
              <w:rPr>
                <w:szCs w:val="24"/>
              </w:rPr>
              <w:t xml:space="preserve">cFarland </w:t>
            </w:r>
          </w:p>
        </w:tc>
      </w:tr>
      <w:tr w:rsidR="001B5CD4" w:rsidRPr="00630AB5">
        <w:tc>
          <w:tcPr>
            <w:tcW w:w="1890" w:type="dxa"/>
            <w:vAlign w:val="center"/>
          </w:tcPr>
          <w:p w:rsidR="001B5CD4" w:rsidRDefault="001B5CD4" w:rsidP="00CB24D6">
            <w:pPr>
              <w:rPr>
                <w:b/>
                <w:sz w:val="24"/>
              </w:rPr>
            </w:pPr>
            <w:r>
              <w:rPr>
                <w:b/>
                <w:sz w:val="24"/>
              </w:rPr>
              <w:t>Regrets:</w:t>
            </w:r>
          </w:p>
        </w:tc>
        <w:tc>
          <w:tcPr>
            <w:tcW w:w="7200" w:type="dxa"/>
            <w:vAlign w:val="center"/>
          </w:tcPr>
          <w:p w:rsidR="001B5CD4" w:rsidRPr="00630AB5" w:rsidRDefault="00B8526D" w:rsidP="00CB24D6">
            <w:pPr>
              <w:pStyle w:val="Heading3"/>
              <w:rPr>
                <w:szCs w:val="24"/>
              </w:rPr>
            </w:pPr>
            <w:r>
              <w:rPr>
                <w:szCs w:val="24"/>
              </w:rPr>
              <w:t xml:space="preserve"> </w:t>
            </w:r>
          </w:p>
        </w:tc>
      </w:tr>
    </w:tbl>
    <w:p w:rsidR="00744E62" w:rsidRPr="00040CBE" w:rsidRDefault="00207D2B" w:rsidP="00081866">
      <w:pPr>
        <w:spacing w:before="120"/>
        <w:rPr>
          <w:b/>
          <w:sz w:val="28"/>
          <w:szCs w:val="28"/>
        </w:rPr>
      </w:pPr>
      <w:r>
        <w:rPr>
          <w:b/>
          <w:sz w:val="28"/>
          <w:szCs w:val="28"/>
        </w:rPr>
        <w:t>Minutes</w:t>
      </w:r>
    </w:p>
    <w:tbl>
      <w:tblPr>
        <w:tblW w:w="9812" w:type="dxa"/>
        <w:jc w:val="center"/>
        <w:tblInd w:w="-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5342"/>
        <w:gridCol w:w="1710"/>
        <w:gridCol w:w="1500"/>
      </w:tblGrid>
      <w:tr w:rsidR="009059AE" w:rsidTr="00CD6F69">
        <w:trPr>
          <w:jc w:val="center"/>
        </w:trPr>
        <w:tc>
          <w:tcPr>
            <w:tcW w:w="1260" w:type="dxa"/>
            <w:tcBorders>
              <w:bottom w:val="single" w:sz="18" w:space="0" w:color="auto"/>
            </w:tcBorders>
            <w:vAlign w:val="center"/>
          </w:tcPr>
          <w:p w:rsidR="009059AE" w:rsidRDefault="009059AE">
            <w:pPr>
              <w:rPr>
                <w:b/>
                <w:sz w:val="24"/>
              </w:rPr>
            </w:pPr>
            <w:r>
              <w:rPr>
                <w:b/>
                <w:sz w:val="24"/>
              </w:rPr>
              <w:t xml:space="preserve">No. </w:t>
            </w:r>
          </w:p>
        </w:tc>
        <w:tc>
          <w:tcPr>
            <w:tcW w:w="5342" w:type="dxa"/>
            <w:tcBorders>
              <w:bottom w:val="single" w:sz="18" w:space="0" w:color="auto"/>
            </w:tcBorders>
            <w:vAlign w:val="center"/>
          </w:tcPr>
          <w:p w:rsidR="009059AE" w:rsidRPr="00AF6BA9" w:rsidRDefault="009059AE">
            <w:pPr>
              <w:pStyle w:val="Heading2"/>
            </w:pPr>
            <w:r w:rsidRPr="00AF6BA9">
              <w:t>Item</w:t>
            </w:r>
          </w:p>
        </w:tc>
        <w:tc>
          <w:tcPr>
            <w:tcW w:w="1710" w:type="dxa"/>
            <w:tcBorders>
              <w:bottom w:val="single" w:sz="18" w:space="0" w:color="auto"/>
            </w:tcBorders>
            <w:vAlign w:val="center"/>
          </w:tcPr>
          <w:p w:rsidR="009059AE" w:rsidRPr="00813FB1" w:rsidRDefault="0074739B" w:rsidP="00F5572F">
            <w:pPr>
              <w:spacing w:before="60" w:after="60"/>
              <w:jc w:val="center"/>
              <w:rPr>
                <w:b/>
              </w:rPr>
            </w:pPr>
            <w:r>
              <w:rPr>
                <w:b/>
              </w:rPr>
              <w:t>Action Item</w:t>
            </w:r>
          </w:p>
        </w:tc>
        <w:tc>
          <w:tcPr>
            <w:tcW w:w="1500" w:type="dxa"/>
            <w:tcBorders>
              <w:bottom w:val="single" w:sz="18" w:space="0" w:color="auto"/>
            </w:tcBorders>
          </w:tcPr>
          <w:p w:rsidR="009059AE" w:rsidRPr="00813FB1" w:rsidRDefault="009059AE" w:rsidP="0018738D">
            <w:pPr>
              <w:spacing w:before="60" w:after="60"/>
              <w:ind w:left="720" w:hanging="720"/>
              <w:rPr>
                <w:b/>
              </w:rPr>
            </w:pPr>
          </w:p>
        </w:tc>
      </w:tr>
      <w:tr w:rsidR="009059AE" w:rsidRPr="00895A3B" w:rsidTr="00CD6F69">
        <w:trPr>
          <w:jc w:val="center"/>
        </w:trPr>
        <w:tc>
          <w:tcPr>
            <w:tcW w:w="1260" w:type="dxa"/>
            <w:tcBorders>
              <w:top w:val="nil"/>
            </w:tcBorders>
          </w:tcPr>
          <w:p w:rsidR="009059AE" w:rsidRPr="00E03ED6" w:rsidRDefault="009059AE">
            <w:pPr>
              <w:rPr>
                <w:rFonts w:cs="Arial"/>
                <w:b/>
                <w:sz w:val="22"/>
                <w:szCs w:val="22"/>
              </w:rPr>
            </w:pPr>
            <w:r w:rsidRPr="00E03ED6">
              <w:rPr>
                <w:rFonts w:cs="Arial"/>
                <w:b/>
                <w:sz w:val="22"/>
                <w:szCs w:val="22"/>
              </w:rPr>
              <w:t>1.0</w:t>
            </w:r>
          </w:p>
        </w:tc>
        <w:tc>
          <w:tcPr>
            <w:tcW w:w="5342" w:type="dxa"/>
            <w:tcBorders>
              <w:top w:val="nil"/>
            </w:tcBorders>
          </w:tcPr>
          <w:p w:rsidR="009059AE" w:rsidRPr="00E03ED6" w:rsidRDefault="009059AE">
            <w:pPr>
              <w:pStyle w:val="Heading3"/>
              <w:rPr>
                <w:rFonts w:cs="Arial"/>
                <w:b/>
                <w:sz w:val="22"/>
                <w:szCs w:val="22"/>
              </w:rPr>
            </w:pPr>
            <w:r w:rsidRPr="00E03ED6">
              <w:rPr>
                <w:rFonts w:cs="Arial"/>
                <w:b/>
                <w:sz w:val="22"/>
                <w:szCs w:val="22"/>
              </w:rPr>
              <w:t>Review of the Agenda</w:t>
            </w:r>
          </w:p>
        </w:tc>
        <w:tc>
          <w:tcPr>
            <w:tcW w:w="1710" w:type="dxa"/>
            <w:tcBorders>
              <w:top w:val="nil"/>
            </w:tcBorders>
          </w:tcPr>
          <w:p w:rsidR="009059AE" w:rsidRPr="00E03ED6" w:rsidRDefault="009059AE">
            <w:pPr>
              <w:rPr>
                <w:rFonts w:cs="Arial"/>
                <w:sz w:val="22"/>
                <w:szCs w:val="22"/>
              </w:rPr>
            </w:pPr>
          </w:p>
        </w:tc>
        <w:tc>
          <w:tcPr>
            <w:tcW w:w="1500" w:type="dxa"/>
            <w:tcBorders>
              <w:top w:val="nil"/>
            </w:tcBorders>
          </w:tcPr>
          <w:p w:rsidR="009059AE" w:rsidRPr="00E03ED6" w:rsidRDefault="00145BBD" w:rsidP="0009572E">
            <w:pPr>
              <w:jc w:val="center"/>
              <w:rPr>
                <w:rFonts w:cs="Arial"/>
                <w:sz w:val="22"/>
                <w:szCs w:val="22"/>
              </w:rPr>
            </w:pPr>
            <w:r>
              <w:rPr>
                <w:rFonts w:cs="Arial"/>
                <w:sz w:val="22"/>
                <w:szCs w:val="22"/>
              </w:rPr>
              <w:t xml:space="preserve"> </w:t>
            </w:r>
            <w:r w:rsidR="00A47EA7">
              <w:rPr>
                <w:rFonts w:cs="Arial"/>
                <w:sz w:val="22"/>
                <w:szCs w:val="22"/>
              </w:rPr>
              <w:t>Additions of items 4.1 and 4.2</w:t>
            </w:r>
          </w:p>
        </w:tc>
      </w:tr>
      <w:tr w:rsidR="009059AE" w:rsidRPr="00895A3B" w:rsidTr="00CD6F69">
        <w:trPr>
          <w:jc w:val="center"/>
        </w:trPr>
        <w:tc>
          <w:tcPr>
            <w:tcW w:w="1260" w:type="dxa"/>
            <w:tcBorders>
              <w:top w:val="nil"/>
            </w:tcBorders>
          </w:tcPr>
          <w:p w:rsidR="009059AE" w:rsidRPr="00E03ED6" w:rsidRDefault="009059AE">
            <w:pPr>
              <w:rPr>
                <w:rFonts w:cs="Arial"/>
                <w:b/>
                <w:sz w:val="22"/>
                <w:szCs w:val="22"/>
              </w:rPr>
            </w:pPr>
            <w:r w:rsidRPr="00E03ED6">
              <w:rPr>
                <w:rFonts w:cs="Arial"/>
                <w:b/>
                <w:sz w:val="22"/>
                <w:szCs w:val="22"/>
              </w:rPr>
              <w:t xml:space="preserve">2.0 </w:t>
            </w:r>
          </w:p>
        </w:tc>
        <w:tc>
          <w:tcPr>
            <w:tcW w:w="5342" w:type="dxa"/>
            <w:tcBorders>
              <w:top w:val="nil"/>
            </w:tcBorders>
          </w:tcPr>
          <w:p w:rsidR="009059AE" w:rsidRDefault="009059AE">
            <w:pPr>
              <w:pStyle w:val="Heading3"/>
              <w:rPr>
                <w:rFonts w:cs="Arial"/>
                <w:sz w:val="22"/>
                <w:szCs w:val="22"/>
              </w:rPr>
            </w:pPr>
            <w:r w:rsidRPr="00E03ED6">
              <w:rPr>
                <w:rFonts w:cs="Arial"/>
                <w:b/>
                <w:sz w:val="22"/>
                <w:szCs w:val="22"/>
              </w:rPr>
              <w:t xml:space="preserve">Review of Minutes </w:t>
            </w:r>
          </w:p>
          <w:p w:rsidR="009059AE" w:rsidRPr="00646B27" w:rsidRDefault="00B8526D" w:rsidP="00A47EA7">
            <w:pPr>
              <w:pStyle w:val="Heading3"/>
              <w:rPr>
                <w:rFonts w:cs="Arial"/>
                <w:b/>
                <w:sz w:val="22"/>
                <w:szCs w:val="22"/>
              </w:rPr>
            </w:pPr>
            <w:proofErr w:type="gramStart"/>
            <w:r>
              <w:rPr>
                <w:rFonts w:cs="Arial"/>
                <w:b/>
                <w:sz w:val="22"/>
                <w:szCs w:val="22"/>
              </w:rPr>
              <w:t>Sept  21</w:t>
            </w:r>
            <w:proofErr w:type="gramEnd"/>
            <w:r w:rsidR="008A6C67" w:rsidRPr="00646B27">
              <w:rPr>
                <w:rFonts w:cs="Arial"/>
                <w:b/>
                <w:sz w:val="22"/>
                <w:szCs w:val="22"/>
              </w:rPr>
              <w:t>, 2011</w:t>
            </w:r>
            <w:r w:rsidR="002456CA" w:rsidRPr="002456CA">
              <w:rPr>
                <w:rFonts w:cs="Arial"/>
                <w:sz w:val="22"/>
                <w:szCs w:val="22"/>
              </w:rPr>
              <w:t xml:space="preserve"> </w:t>
            </w:r>
            <w:r w:rsidR="00A47EA7">
              <w:rPr>
                <w:rFonts w:cs="Arial"/>
                <w:sz w:val="22"/>
                <w:szCs w:val="22"/>
              </w:rPr>
              <w:t xml:space="preserve">The minutes were approved without changes. </w:t>
            </w:r>
            <w:r w:rsidR="002456CA" w:rsidRPr="002456CA">
              <w:rPr>
                <w:rFonts w:cs="Arial"/>
                <w:sz w:val="22"/>
                <w:szCs w:val="22"/>
              </w:rPr>
              <w:t xml:space="preserve">Bill Kou </w:t>
            </w:r>
            <w:r w:rsidR="00A47EA7">
              <w:rPr>
                <w:rFonts w:cs="Arial"/>
                <w:sz w:val="22"/>
                <w:szCs w:val="22"/>
              </w:rPr>
              <w:t xml:space="preserve">moved. </w:t>
            </w:r>
          </w:p>
        </w:tc>
        <w:tc>
          <w:tcPr>
            <w:tcW w:w="1710" w:type="dxa"/>
            <w:tcBorders>
              <w:top w:val="nil"/>
            </w:tcBorders>
          </w:tcPr>
          <w:p w:rsidR="009059AE" w:rsidRPr="00E03ED6" w:rsidRDefault="009059AE">
            <w:pPr>
              <w:rPr>
                <w:rFonts w:cs="Arial"/>
                <w:sz w:val="22"/>
                <w:szCs w:val="22"/>
              </w:rPr>
            </w:pPr>
          </w:p>
        </w:tc>
        <w:tc>
          <w:tcPr>
            <w:tcW w:w="1500" w:type="dxa"/>
            <w:tcBorders>
              <w:top w:val="nil"/>
              <w:bottom w:val="single" w:sz="4" w:space="0" w:color="auto"/>
            </w:tcBorders>
          </w:tcPr>
          <w:p w:rsidR="009059AE" w:rsidRPr="00E03ED6" w:rsidRDefault="00145BBD" w:rsidP="0009572E">
            <w:pPr>
              <w:jc w:val="center"/>
              <w:rPr>
                <w:rFonts w:cs="Arial"/>
                <w:sz w:val="22"/>
                <w:szCs w:val="22"/>
              </w:rPr>
            </w:pPr>
            <w:r>
              <w:rPr>
                <w:rFonts w:cs="Arial"/>
                <w:sz w:val="22"/>
                <w:szCs w:val="22"/>
              </w:rPr>
              <w:t xml:space="preserve"> </w:t>
            </w:r>
          </w:p>
        </w:tc>
      </w:tr>
      <w:tr w:rsidR="009059AE" w:rsidRPr="00895A3B" w:rsidTr="00CD6F69">
        <w:trPr>
          <w:jc w:val="center"/>
        </w:trPr>
        <w:tc>
          <w:tcPr>
            <w:tcW w:w="1260" w:type="dxa"/>
            <w:tcBorders>
              <w:top w:val="nil"/>
            </w:tcBorders>
          </w:tcPr>
          <w:p w:rsidR="009059AE" w:rsidRPr="00E03ED6" w:rsidRDefault="009059AE" w:rsidP="004D096A">
            <w:pPr>
              <w:rPr>
                <w:rFonts w:cs="Arial"/>
                <w:b/>
                <w:sz w:val="22"/>
                <w:szCs w:val="22"/>
              </w:rPr>
            </w:pPr>
            <w:r w:rsidRPr="00E03ED6">
              <w:rPr>
                <w:rFonts w:cs="Arial"/>
                <w:b/>
                <w:sz w:val="22"/>
                <w:szCs w:val="22"/>
              </w:rPr>
              <w:t>3.0</w:t>
            </w:r>
          </w:p>
        </w:tc>
        <w:tc>
          <w:tcPr>
            <w:tcW w:w="5342" w:type="dxa"/>
            <w:tcBorders>
              <w:top w:val="nil"/>
            </w:tcBorders>
          </w:tcPr>
          <w:p w:rsidR="009059AE" w:rsidRPr="00E03ED6" w:rsidRDefault="009059AE" w:rsidP="004D096A">
            <w:pPr>
              <w:rPr>
                <w:rFonts w:cs="Arial"/>
                <w:b/>
                <w:sz w:val="22"/>
                <w:szCs w:val="22"/>
              </w:rPr>
            </w:pPr>
            <w:r w:rsidRPr="00E03ED6">
              <w:rPr>
                <w:rFonts w:cs="Arial"/>
                <w:b/>
                <w:sz w:val="22"/>
                <w:szCs w:val="22"/>
              </w:rPr>
              <w:t>Business Arising</w:t>
            </w:r>
          </w:p>
        </w:tc>
        <w:tc>
          <w:tcPr>
            <w:tcW w:w="1710" w:type="dxa"/>
            <w:tcBorders>
              <w:top w:val="nil"/>
              <w:right w:val="single" w:sz="4" w:space="0" w:color="auto"/>
            </w:tcBorders>
          </w:tcPr>
          <w:p w:rsidR="009059AE" w:rsidRPr="00E03ED6" w:rsidRDefault="009059AE" w:rsidP="004D096A">
            <w:pPr>
              <w:rPr>
                <w:rFonts w:cs="Arial"/>
                <w:b/>
                <w:sz w:val="22"/>
                <w:szCs w:val="22"/>
              </w:rPr>
            </w:pPr>
          </w:p>
        </w:tc>
        <w:tc>
          <w:tcPr>
            <w:tcW w:w="1500" w:type="dxa"/>
            <w:tcBorders>
              <w:top w:val="single" w:sz="4" w:space="0" w:color="auto"/>
              <w:left w:val="single" w:sz="4" w:space="0" w:color="auto"/>
              <w:bottom w:val="single" w:sz="4" w:space="0" w:color="auto"/>
              <w:right w:val="single" w:sz="4" w:space="0" w:color="auto"/>
            </w:tcBorders>
          </w:tcPr>
          <w:p w:rsidR="009059AE" w:rsidRPr="00E03ED6" w:rsidRDefault="00145BBD" w:rsidP="0009572E">
            <w:pPr>
              <w:jc w:val="center"/>
              <w:rPr>
                <w:rFonts w:cs="Arial"/>
                <w:sz w:val="22"/>
                <w:szCs w:val="22"/>
              </w:rPr>
            </w:pPr>
            <w:r>
              <w:rPr>
                <w:rFonts w:cs="Arial"/>
                <w:sz w:val="22"/>
                <w:szCs w:val="22"/>
              </w:rPr>
              <w:t xml:space="preserve"> </w:t>
            </w:r>
          </w:p>
        </w:tc>
      </w:tr>
      <w:tr w:rsidR="009059AE" w:rsidRPr="00895A3B" w:rsidTr="00CD6F69">
        <w:trPr>
          <w:jc w:val="center"/>
        </w:trPr>
        <w:tc>
          <w:tcPr>
            <w:tcW w:w="1260" w:type="dxa"/>
            <w:tcBorders>
              <w:top w:val="nil"/>
            </w:tcBorders>
          </w:tcPr>
          <w:p w:rsidR="009059AE" w:rsidRPr="00E03ED6" w:rsidRDefault="009059AE" w:rsidP="00EE04AC">
            <w:pPr>
              <w:jc w:val="right"/>
              <w:rPr>
                <w:rFonts w:cs="Arial"/>
                <w:sz w:val="22"/>
                <w:szCs w:val="22"/>
              </w:rPr>
            </w:pPr>
            <w:r w:rsidRPr="00E03ED6">
              <w:rPr>
                <w:rFonts w:cs="Arial"/>
                <w:sz w:val="22"/>
                <w:szCs w:val="22"/>
              </w:rPr>
              <w:t>3.1</w:t>
            </w:r>
          </w:p>
        </w:tc>
        <w:tc>
          <w:tcPr>
            <w:tcW w:w="5342" w:type="dxa"/>
            <w:tcBorders>
              <w:top w:val="nil"/>
            </w:tcBorders>
          </w:tcPr>
          <w:p w:rsidR="009059AE" w:rsidRPr="00E03ED6" w:rsidRDefault="0016450C" w:rsidP="00AE7B19">
            <w:pPr>
              <w:rPr>
                <w:rFonts w:cs="Arial"/>
                <w:sz w:val="22"/>
                <w:szCs w:val="22"/>
              </w:rPr>
            </w:pPr>
            <w:r w:rsidRPr="00BB5335">
              <w:rPr>
                <w:rFonts w:ascii="Calibri" w:hAnsi="Calibri" w:cs="Arial"/>
                <w:sz w:val="22"/>
                <w:szCs w:val="22"/>
              </w:rPr>
              <w:t>Cam to follow-up with Scott Leatherdale regarding social determinants</w:t>
            </w:r>
            <w:r w:rsidR="00291F17">
              <w:rPr>
                <w:rFonts w:ascii="Calibri" w:hAnsi="Calibri" w:cs="Arial"/>
                <w:sz w:val="22"/>
                <w:szCs w:val="22"/>
              </w:rPr>
              <w:t xml:space="preserve"> </w:t>
            </w:r>
            <w:r w:rsidR="00AE7B19">
              <w:rPr>
                <w:rFonts w:ascii="Calibri" w:hAnsi="Calibri" w:cs="Arial"/>
                <w:sz w:val="22"/>
                <w:szCs w:val="22"/>
              </w:rPr>
              <w:t xml:space="preserve"> - B</w:t>
            </w:r>
            <w:r w:rsidR="00145BBD">
              <w:rPr>
                <w:rFonts w:ascii="Calibri" w:hAnsi="Calibri" w:cs="Arial"/>
                <w:sz w:val="22"/>
                <w:szCs w:val="22"/>
              </w:rPr>
              <w:t xml:space="preserve">ring forward </w:t>
            </w:r>
          </w:p>
        </w:tc>
        <w:tc>
          <w:tcPr>
            <w:tcW w:w="1710" w:type="dxa"/>
            <w:tcBorders>
              <w:top w:val="nil"/>
            </w:tcBorders>
          </w:tcPr>
          <w:p w:rsidR="009059AE" w:rsidRPr="00E03ED6" w:rsidRDefault="00923F82" w:rsidP="00D70086">
            <w:pPr>
              <w:rPr>
                <w:rFonts w:cs="Arial"/>
                <w:sz w:val="22"/>
                <w:szCs w:val="22"/>
              </w:rPr>
            </w:pPr>
            <w:r>
              <w:rPr>
                <w:szCs w:val="24"/>
              </w:rPr>
              <w:t xml:space="preserve">Cam </w:t>
            </w:r>
          </w:p>
        </w:tc>
        <w:tc>
          <w:tcPr>
            <w:tcW w:w="1500" w:type="dxa"/>
            <w:tcBorders>
              <w:bottom w:val="single" w:sz="4" w:space="0" w:color="auto"/>
            </w:tcBorders>
            <w:shd w:val="clear" w:color="auto" w:fill="auto"/>
          </w:tcPr>
          <w:p w:rsidR="009059AE" w:rsidRPr="00E03ED6" w:rsidRDefault="00A47EA7" w:rsidP="0009572E">
            <w:pPr>
              <w:jc w:val="center"/>
              <w:rPr>
                <w:rFonts w:cs="Arial"/>
                <w:sz w:val="22"/>
                <w:szCs w:val="22"/>
              </w:rPr>
            </w:pPr>
            <w:r>
              <w:rPr>
                <w:rFonts w:cs="Arial"/>
                <w:sz w:val="22"/>
                <w:szCs w:val="22"/>
              </w:rPr>
              <w:t>Bring forward</w:t>
            </w:r>
            <w:r w:rsidR="00B8526D">
              <w:rPr>
                <w:rFonts w:cs="Arial"/>
                <w:sz w:val="22"/>
                <w:szCs w:val="22"/>
              </w:rPr>
              <w:t xml:space="preserve"> </w:t>
            </w:r>
          </w:p>
        </w:tc>
      </w:tr>
      <w:tr w:rsidR="009059AE" w:rsidRPr="00895A3B" w:rsidTr="00CD6F69">
        <w:trPr>
          <w:jc w:val="center"/>
        </w:trPr>
        <w:tc>
          <w:tcPr>
            <w:tcW w:w="1260" w:type="dxa"/>
            <w:tcBorders>
              <w:top w:val="nil"/>
            </w:tcBorders>
          </w:tcPr>
          <w:p w:rsidR="009059AE" w:rsidRPr="00E03ED6" w:rsidRDefault="009059AE" w:rsidP="00EE04AC">
            <w:pPr>
              <w:jc w:val="right"/>
              <w:rPr>
                <w:rFonts w:cs="Arial"/>
                <w:sz w:val="22"/>
                <w:szCs w:val="22"/>
              </w:rPr>
            </w:pPr>
            <w:r>
              <w:rPr>
                <w:rFonts w:cs="Arial"/>
                <w:sz w:val="22"/>
                <w:szCs w:val="22"/>
              </w:rPr>
              <w:t>3.2</w:t>
            </w:r>
          </w:p>
        </w:tc>
        <w:tc>
          <w:tcPr>
            <w:tcW w:w="5342" w:type="dxa"/>
            <w:tcBorders>
              <w:top w:val="nil"/>
            </w:tcBorders>
          </w:tcPr>
          <w:p w:rsidR="0016450C" w:rsidRPr="00BB5335" w:rsidRDefault="0016450C" w:rsidP="0016450C">
            <w:pPr>
              <w:pStyle w:val="Heading3"/>
              <w:rPr>
                <w:rFonts w:ascii="Calibri" w:hAnsi="Calibri" w:cs="Arial"/>
                <w:sz w:val="22"/>
                <w:szCs w:val="22"/>
              </w:rPr>
            </w:pPr>
            <w:r w:rsidRPr="00BB5335">
              <w:rPr>
                <w:rFonts w:ascii="Calibri" w:hAnsi="Calibri" w:cs="Arial"/>
                <w:sz w:val="22"/>
                <w:szCs w:val="22"/>
              </w:rPr>
              <w:t xml:space="preserve">Projected population growth </w:t>
            </w:r>
          </w:p>
          <w:p w:rsidR="009059AE" w:rsidRPr="00E03ED6" w:rsidRDefault="0016450C" w:rsidP="0016450C">
            <w:pPr>
              <w:rPr>
                <w:rFonts w:cs="Arial"/>
                <w:sz w:val="22"/>
                <w:szCs w:val="22"/>
              </w:rPr>
            </w:pPr>
            <w:r w:rsidRPr="00BB5335">
              <w:rPr>
                <w:rFonts w:ascii="Calibri" w:hAnsi="Calibri" w:cs="Arial"/>
                <w:sz w:val="22"/>
                <w:szCs w:val="22"/>
              </w:rPr>
              <w:t>- Update on population estimates and projections from MOF</w:t>
            </w:r>
            <w:r w:rsidR="00AE7B19">
              <w:rPr>
                <w:rFonts w:ascii="Calibri" w:hAnsi="Calibri" w:cs="Arial"/>
                <w:sz w:val="22"/>
                <w:szCs w:val="22"/>
              </w:rPr>
              <w:t xml:space="preserve"> </w:t>
            </w:r>
            <w:r w:rsidR="00145BBD">
              <w:rPr>
                <w:rFonts w:ascii="Calibri" w:hAnsi="Calibri" w:cs="Arial"/>
                <w:sz w:val="22"/>
                <w:szCs w:val="22"/>
              </w:rPr>
              <w:t xml:space="preserve"> Bring forward</w:t>
            </w:r>
          </w:p>
        </w:tc>
        <w:tc>
          <w:tcPr>
            <w:tcW w:w="1710" w:type="dxa"/>
            <w:tcBorders>
              <w:top w:val="nil"/>
            </w:tcBorders>
          </w:tcPr>
          <w:p w:rsidR="009059AE" w:rsidRPr="00E03ED6" w:rsidRDefault="00923F82" w:rsidP="00D70086">
            <w:pPr>
              <w:rPr>
                <w:rFonts w:cs="Arial"/>
                <w:sz w:val="22"/>
                <w:szCs w:val="22"/>
              </w:rPr>
            </w:pPr>
            <w:r>
              <w:rPr>
                <w:szCs w:val="24"/>
              </w:rPr>
              <w:t xml:space="preserve">Cam </w:t>
            </w:r>
          </w:p>
        </w:tc>
        <w:tc>
          <w:tcPr>
            <w:tcW w:w="1500" w:type="dxa"/>
            <w:tcBorders>
              <w:bottom w:val="single" w:sz="4" w:space="0" w:color="auto"/>
            </w:tcBorders>
          </w:tcPr>
          <w:p w:rsidR="009059AE" w:rsidRPr="00E03ED6" w:rsidRDefault="00A47EA7" w:rsidP="0009572E">
            <w:pPr>
              <w:jc w:val="center"/>
              <w:rPr>
                <w:rFonts w:cs="Arial"/>
                <w:sz w:val="22"/>
                <w:szCs w:val="22"/>
              </w:rPr>
            </w:pPr>
            <w:r>
              <w:rPr>
                <w:rFonts w:cs="Arial"/>
                <w:sz w:val="22"/>
                <w:szCs w:val="22"/>
              </w:rPr>
              <w:t>Bring forward</w:t>
            </w:r>
          </w:p>
        </w:tc>
      </w:tr>
      <w:tr w:rsidR="009059AE" w:rsidRPr="00895A3B" w:rsidTr="00CD6F69">
        <w:trPr>
          <w:jc w:val="center"/>
        </w:trPr>
        <w:tc>
          <w:tcPr>
            <w:tcW w:w="1260" w:type="dxa"/>
            <w:tcBorders>
              <w:top w:val="nil"/>
            </w:tcBorders>
          </w:tcPr>
          <w:p w:rsidR="009059AE" w:rsidRPr="00E03ED6" w:rsidRDefault="009059AE">
            <w:pPr>
              <w:rPr>
                <w:rFonts w:cs="Arial"/>
                <w:b/>
                <w:sz w:val="22"/>
                <w:szCs w:val="22"/>
              </w:rPr>
            </w:pPr>
            <w:r w:rsidRPr="00E03ED6">
              <w:rPr>
                <w:rFonts w:cs="Arial"/>
                <w:b/>
                <w:sz w:val="22"/>
                <w:szCs w:val="22"/>
              </w:rPr>
              <w:t>4.0</w:t>
            </w:r>
          </w:p>
        </w:tc>
        <w:tc>
          <w:tcPr>
            <w:tcW w:w="5342" w:type="dxa"/>
            <w:tcBorders>
              <w:top w:val="nil"/>
            </w:tcBorders>
          </w:tcPr>
          <w:p w:rsidR="009059AE" w:rsidRPr="00E03ED6" w:rsidRDefault="009059AE" w:rsidP="00630AB5">
            <w:pPr>
              <w:pStyle w:val="Heading3"/>
              <w:rPr>
                <w:rFonts w:cs="Arial"/>
                <w:b/>
                <w:sz w:val="22"/>
                <w:szCs w:val="22"/>
              </w:rPr>
            </w:pPr>
            <w:r w:rsidRPr="00E03ED6">
              <w:rPr>
                <w:rFonts w:cs="Arial"/>
                <w:b/>
                <w:sz w:val="22"/>
                <w:szCs w:val="22"/>
              </w:rPr>
              <w:t>New Business</w:t>
            </w:r>
          </w:p>
        </w:tc>
        <w:tc>
          <w:tcPr>
            <w:tcW w:w="1710" w:type="dxa"/>
            <w:tcBorders>
              <w:top w:val="nil"/>
            </w:tcBorders>
          </w:tcPr>
          <w:p w:rsidR="009059AE" w:rsidRPr="00E03ED6" w:rsidRDefault="009059AE">
            <w:pPr>
              <w:rPr>
                <w:rFonts w:cs="Arial"/>
                <w:sz w:val="22"/>
                <w:szCs w:val="22"/>
              </w:rPr>
            </w:pPr>
          </w:p>
        </w:tc>
        <w:tc>
          <w:tcPr>
            <w:tcW w:w="1500" w:type="dxa"/>
            <w:tcBorders>
              <w:top w:val="single" w:sz="4" w:space="0" w:color="auto"/>
            </w:tcBorders>
          </w:tcPr>
          <w:p w:rsidR="009059AE" w:rsidRPr="00E03ED6" w:rsidRDefault="009059AE" w:rsidP="0009572E">
            <w:pPr>
              <w:jc w:val="center"/>
              <w:rPr>
                <w:rFonts w:cs="Arial"/>
                <w:sz w:val="22"/>
                <w:szCs w:val="22"/>
              </w:rPr>
            </w:pPr>
          </w:p>
        </w:tc>
      </w:tr>
      <w:tr w:rsidR="009059AE" w:rsidRPr="00895A3B" w:rsidTr="00CD6F69">
        <w:trPr>
          <w:jc w:val="center"/>
        </w:trPr>
        <w:tc>
          <w:tcPr>
            <w:tcW w:w="1260" w:type="dxa"/>
            <w:tcBorders>
              <w:top w:val="nil"/>
            </w:tcBorders>
          </w:tcPr>
          <w:p w:rsidR="009059AE" w:rsidRDefault="009059AE" w:rsidP="00FC424E">
            <w:pPr>
              <w:jc w:val="right"/>
              <w:rPr>
                <w:rFonts w:cs="Arial"/>
                <w:sz w:val="22"/>
                <w:szCs w:val="22"/>
              </w:rPr>
            </w:pPr>
            <w:r w:rsidRPr="00E03ED6">
              <w:rPr>
                <w:rFonts w:cs="Arial"/>
                <w:sz w:val="22"/>
                <w:szCs w:val="22"/>
              </w:rPr>
              <w:t>4.1</w:t>
            </w:r>
          </w:p>
          <w:p w:rsidR="002456CA" w:rsidRDefault="002456CA" w:rsidP="00FC424E">
            <w:pPr>
              <w:jc w:val="right"/>
              <w:rPr>
                <w:rFonts w:cs="Arial"/>
                <w:sz w:val="22"/>
                <w:szCs w:val="22"/>
              </w:rPr>
            </w:pPr>
          </w:p>
          <w:p w:rsidR="002456CA" w:rsidRDefault="002456CA" w:rsidP="00FC424E">
            <w:pPr>
              <w:jc w:val="right"/>
              <w:rPr>
                <w:rFonts w:cs="Arial"/>
                <w:sz w:val="22"/>
                <w:szCs w:val="22"/>
              </w:rPr>
            </w:pPr>
          </w:p>
          <w:p w:rsidR="002456CA" w:rsidRPr="00E03ED6" w:rsidRDefault="002456CA" w:rsidP="00FC424E">
            <w:pPr>
              <w:jc w:val="right"/>
              <w:rPr>
                <w:rFonts w:cs="Arial"/>
                <w:sz w:val="22"/>
                <w:szCs w:val="22"/>
              </w:rPr>
            </w:pPr>
          </w:p>
        </w:tc>
        <w:tc>
          <w:tcPr>
            <w:tcW w:w="5342" w:type="dxa"/>
            <w:tcBorders>
              <w:top w:val="nil"/>
            </w:tcBorders>
          </w:tcPr>
          <w:p w:rsidR="002456CA" w:rsidRPr="00646B27" w:rsidRDefault="002456CA" w:rsidP="00A47EA7">
            <w:pPr>
              <w:rPr>
                <w:rFonts w:cs="Arial"/>
                <w:sz w:val="22"/>
                <w:szCs w:val="22"/>
              </w:rPr>
            </w:pPr>
            <w:r>
              <w:rPr>
                <w:rFonts w:cs="Arial"/>
                <w:sz w:val="22"/>
                <w:szCs w:val="22"/>
              </w:rPr>
              <w:t>PHO webinar: slide deck</w:t>
            </w:r>
            <w:r w:rsidR="00A47EA7">
              <w:rPr>
                <w:rFonts w:cs="Arial"/>
                <w:sz w:val="22"/>
                <w:szCs w:val="22"/>
              </w:rPr>
              <w:t>. On May 29</w:t>
            </w:r>
            <w:r w:rsidR="00A47EA7" w:rsidRPr="00A47EA7">
              <w:rPr>
                <w:rFonts w:cs="Arial"/>
                <w:sz w:val="22"/>
                <w:szCs w:val="22"/>
                <w:vertAlign w:val="superscript"/>
              </w:rPr>
              <w:t>th</w:t>
            </w:r>
            <w:r w:rsidR="00A47EA7">
              <w:rPr>
                <w:rFonts w:cs="Arial"/>
                <w:sz w:val="22"/>
                <w:szCs w:val="22"/>
              </w:rPr>
              <w:t xml:space="preserve">, PHO hosted a webinar on </w:t>
            </w:r>
            <w:r w:rsidR="00A47EA7" w:rsidRPr="00A47EA7">
              <w:rPr>
                <w:rFonts w:cs="Arial"/>
                <w:i/>
                <w:sz w:val="22"/>
                <w:szCs w:val="22"/>
              </w:rPr>
              <w:t>Integrating social determinants of health and health equity into Canadian public health practice</w:t>
            </w:r>
            <w:r w:rsidR="00A47EA7">
              <w:rPr>
                <w:rFonts w:cs="Arial"/>
                <w:sz w:val="22"/>
                <w:szCs w:val="22"/>
              </w:rPr>
              <w:t>. The presentation arose from work on the National Collaborating Centre for Determinants</w:t>
            </w:r>
            <w:r w:rsidR="00A47EA7" w:rsidRPr="00A47EA7">
              <w:rPr>
                <w:rFonts w:cs="Arial"/>
                <w:sz w:val="22"/>
                <w:szCs w:val="22"/>
              </w:rPr>
              <w:t xml:space="preserve"> of Health</w:t>
            </w:r>
            <w:r w:rsidR="00A47EA7">
              <w:rPr>
                <w:rFonts w:ascii="Helvetica" w:hAnsi="Helvetica"/>
                <w:color w:val="555555"/>
              </w:rPr>
              <w:t xml:space="preserve"> </w:t>
            </w:r>
            <w:hyperlink r:id="rId7" w:history="1">
              <w:r w:rsidR="00A47EA7" w:rsidRPr="0047791C">
                <w:rPr>
                  <w:rStyle w:val="Hyperlink"/>
                  <w:rFonts w:ascii="Helvetica" w:hAnsi="Helvetica"/>
                </w:rPr>
                <w:t>http://www.nccdh.ca/</w:t>
              </w:r>
            </w:hyperlink>
            <w:r w:rsidR="00A47EA7">
              <w:rPr>
                <w:rFonts w:ascii="Helvetica" w:hAnsi="Helvetica"/>
                <w:color w:val="555555"/>
              </w:rPr>
              <w:t xml:space="preserve"> </w:t>
            </w:r>
            <w:r w:rsidR="00A47EA7" w:rsidRPr="00A47EA7">
              <w:rPr>
                <w:rFonts w:cs="Arial"/>
                <w:sz w:val="22"/>
                <w:szCs w:val="22"/>
              </w:rPr>
              <w:t>. The presentatio</w:t>
            </w:r>
            <w:r w:rsidR="00A47EA7">
              <w:rPr>
                <w:rFonts w:cs="Arial"/>
                <w:sz w:val="22"/>
                <w:szCs w:val="22"/>
              </w:rPr>
              <w:t>n discussed the historical context for the determinants of health in Canada and in public health. It discussed an environmental scan of determinants of health in public health practice and provided some frameworks for integration. Cam will try to secure the slide deck for distribution.</w:t>
            </w:r>
            <w:r w:rsidR="00A47EA7" w:rsidRPr="00646B27">
              <w:rPr>
                <w:rFonts w:cs="Arial"/>
                <w:sz w:val="22"/>
                <w:szCs w:val="22"/>
              </w:rPr>
              <w:t xml:space="preserve"> </w:t>
            </w:r>
          </w:p>
        </w:tc>
        <w:tc>
          <w:tcPr>
            <w:tcW w:w="1710" w:type="dxa"/>
            <w:tcBorders>
              <w:top w:val="nil"/>
            </w:tcBorders>
          </w:tcPr>
          <w:p w:rsidR="009059AE" w:rsidRPr="00E03ED6" w:rsidRDefault="00A47EA7" w:rsidP="00D70086">
            <w:pPr>
              <w:rPr>
                <w:rFonts w:cs="Arial"/>
                <w:sz w:val="22"/>
                <w:szCs w:val="22"/>
              </w:rPr>
            </w:pPr>
            <w:r>
              <w:rPr>
                <w:rFonts w:cs="Arial"/>
                <w:sz w:val="22"/>
                <w:szCs w:val="22"/>
              </w:rPr>
              <w:t xml:space="preserve">Cam </w:t>
            </w:r>
          </w:p>
        </w:tc>
        <w:tc>
          <w:tcPr>
            <w:tcW w:w="1500" w:type="dxa"/>
            <w:tcBorders>
              <w:top w:val="single" w:sz="4" w:space="0" w:color="auto"/>
            </w:tcBorders>
          </w:tcPr>
          <w:p w:rsidR="009059AE" w:rsidRPr="00E03ED6" w:rsidRDefault="00A47EA7" w:rsidP="0009572E">
            <w:pPr>
              <w:jc w:val="center"/>
              <w:rPr>
                <w:rFonts w:cs="Arial"/>
                <w:sz w:val="22"/>
                <w:szCs w:val="22"/>
              </w:rPr>
            </w:pPr>
            <w:r>
              <w:rPr>
                <w:rFonts w:cs="Arial"/>
                <w:sz w:val="22"/>
                <w:szCs w:val="22"/>
              </w:rPr>
              <w:t>Get slide deck for distribution.</w:t>
            </w:r>
          </w:p>
        </w:tc>
      </w:tr>
      <w:tr w:rsidR="00A47EA7" w:rsidRPr="00895A3B" w:rsidTr="00CD6F69">
        <w:trPr>
          <w:jc w:val="center"/>
        </w:trPr>
        <w:tc>
          <w:tcPr>
            <w:tcW w:w="1260" w:type="dxa"/>
            <w:tcBorders>
              <w:top w:val="nil"/>
            </w:tcBorders>
          </w:tcPr>
          <w:p w:rsidR="00A47EA7" w:rsidRPr="00E03ED6" w:rsidRDefault="007F4BA0" w:rsidP="00FC424E">
            <w:pPr>
              <w:jc w:val="right"/>
              <w:rPr>
                <w:rFonts w:cs="Arial"/>
                <w:sz w:val="22"/>
                <w:szCs w:val="22"/>
              </w:rPr>
            </w:pPr>
            <w:r>
              <w:rPr>
                <w:rFonts w:cs="Arial"/>
                <w:sz w:val="22"/>
                <w:szCs w:val="22"/>
              </w:rPr>
              <w:t>4.2</w:t>
            </w:r>
          </w:p>
        </w:tc>
        <w:tc>
          <w:tcPr>
            <w:tcW w:w="5342" w:type="dxa"/>
            <w:tcBorders>
              <w:top w:val="nil"/>
            </w:tcBorders>
          </w:tcPr>
          <w:p w:rsidR="00A47EA7" w:rsidRDefault="00A47EA7" w:rsidP="00B8526D">
            <w:pPr>
              <w:rPr>
                <w:rFonts w:cs="Arial"/>
                <w:sz w:val="22"/>
                <w:szCs w:val="22"/>
              </w:rPr>
            </w:pPr>
            <w:proofErr w:type="spellStart"/>
            <w:proofErr w:type="gramStart"/>
            <w:r>
              <w:rPr>
                <w:rFonts w:cs="Arial"/>
                <w:sz w:val="22"/>
                <w:szCs w:val="22"/>
              </w:rPr>
              <w:t>aLPHA</w:t>
            </w:r>
            <w:proofErr w:type="spellEnd"/>
            <w:proofErr w:type="gramEnd"/>
            <w:r>
              <w:rPr>
                <w:rFonts w:cs="Arial"/>
                <w:sz w:val="22"/>
                <w:szCs w:val="22"/>
              </w:rPr>
              <w:t xml:space="preserve"> – Health Equity indicator group.  APHEO was invited to attend this group but Cam has been unable to attend. The group has some resources that might be generally available and Cam will update the indicator group on </w:t>
            </w:r>
            <w:proofErr w:type="spellStart"/>
            <w:proofErr w:type="gramStart"/>
            <w:r>
              <w:rPr>
                <w:rFonts w:cs="Arial"/>
                <w:sz w:val="22"/>
                <w:szCs w:val="22"/>
              </w:rPr>
              <w:t>it’s</w:t>
            </w:r>
            <w:proofErr w:type="spellEnd"/>
            <w:proofErr w:type="gramEnd"/>
            <w:r>
              <w:rPr>
                <w:rFonts w:cs="Arial"/>
                <w:sz w:val="22"/>
                <w:szCs w:val="22"/>
              </w:rPr>
              <w:t xml:space="preserve"> workings.  One resource can be found at: </w:t>
            </w:r>
            <w:hyperlink r:id="rId8" w:history="1">
              <w:r w:rsidRPr="0047791C">
                <w:rPr>
                  <w:rStyle w:val="Hyperlink"/>
                  <w:rFonts w:cs="Arial"/>
                  <w:sz w:val="22"/>
                  <w:szCs w:val="22"/>
                </w:rPr>
                <w:t>http://www.wellesleyinstitute.com/publication/public-health-is-a-key-driver-for-health-equity/</w:t>
              </w:r>
            </w:hyperlink>
            <w:r>
              <w:rPr>
                <w:rFonts w:cs="Arial"/>
                <w:sz w:val="22"/>
                <w:szCs w:val="22"/>
              </w:rPr>
              <w:t xml:space="preserve"> </w:t>
            </w:r>
          </w:p>
        </w:tc>
        <w:tc>
          <w:tcPr>
            <w:tcW w:w="1710" w:type="dxa"/>
            <w:tcBorders>
              <w:top w:val="nil"/>
            </w:tcBorders>
          </w:tcPr>
          <w:p w:rsidR="00A47EA7" w:rsidRPr="00E03ED6" w:rsidRDefault="00D70086" w:rsidP="00D70086">
            <w:pPr>
              <w:rPr>
                <w:rFonts w:cs="Arial"/>
                <w:sz w:val="22"/>
                <w:szCs w:val="22"/>
              </w:rPr>
            </w:pPr>
            <w:r>
              <w:rPr>
                <w:rFonts w:cs="Arial"/>
                <w:sz w:val="22"/>
                <w:szCs w:val="22"/>
              </w:rPr>
              <w:t xml:space="preserve">Cam </w:t>
            </w:r>
          </w:p>
        </w:tc>
        <w:tc>
          <w:tcPr>
            <w:tcW w:w="1500" w:type="dxa"/>
            <w:tcBorders>
              <w:top w:val="single" w:sz="4" w:space="0" w:color="auto"/>
            </w:tcBorders>
          </w:tcPr>
          <w:p w:rsidR="00A47EA7" w:rsidRDefault="00D70086" w:rsidP="0009572E">
            <w:pPr>
              <w:jc w:val="center"/>
              <w:rPr>
                <w:rFonts w:cs="Arial"/>
                <w:sz w:val="22"/>
                <w:szCs w:val="22"/>
              </w:rPr>
            </w:pPr>
            <w:proofErr w:type="gramStart"/>
            <w:r>
              <w:rPr>
                <w:rFonts w:cs="Arial"/>
                <w:sz w:val="22"/>
                <w:szCs w:val="22"/>
              </w:rPr>
              <w:t>to</w:t>
            </w:r>
            <w:proofErr w:type="gramEnd"/>
            <w:r>
              <w:rPr>
                <w:rFonts w:cs="Arial"/>
                <w:sz w:val="22"/>
                <w:szCs w:val="22"/>
              </w:rPr>
              <w:t xml:space="preserve"> report back to group on this committee activity.</w:t>
            </w:r>
          </w:p>
        </w:tc>
      </w:tr>
      <w:tr w:rsidR="007F4BA0" w:rsidRPr="00895A3B" w:rsidTr="00CD6F69">
        <w:trPr>
          <w:jc w:val="center"/>
        </w:trPr>
        <w:tc>
          <w:tcPr>
            <w:tcW w:w="1260" w:type="dxa"/>
            <w:tcBorders>
              <w:top w:val="nil"/>
            </w:tcBorders>
          </w:tcPr>
          <w:p w:rsidR="007F4BA0" w:rsidRPr="00E03ED6" w:rsidRDefault="007F4BA0" w:rsidP="00FC424E">
            <w:pPr>
              <w:jc w:val="right"/>
              <w:rPr>
                <w:rFonts w:cs="Arial"/>
                <w:sz w:val="22"/>
                <w:szCs w:val="22"/>
              </w:rPr>
            </w:pPr>
            <w:r>
              <w:rPr>
                <w:rFonts w:cs="Arial"/>
                <w:sz w:val="22"/>
                <w:szCs w:val="22"/>
              </w:rPr>
              <w:t>4.3</w:t>
            </w:r>
          </w:p>
        </w:tc>
        <w:tc>
          <w:tcPr>
            <w:tcW w:w="5342" w:type="dxa"/>
            <w:tcBorders>
              <w:top w:val="nil"/>
            </w:tcBorders>
          </w:tcPr>
          <w:p w:rsidR="007F4BA0" w:rsidRDefault="007F4BA0" w:rsidP="007F4BA0">
            <w:pPr>
              <w:rPr>
                <w:rFonts w:cs="Arial"/>
                <w:sz w:val="22"/>
                <w:szCs w:val="22"/>
              </w:rPr>
            </w:pPr>
            <w:r>
              <w:rPr>
                <w:rFonts w:cs="Arial"/>
                <w:sz w:val="22"/>
                <w:szCs w:val="22"/>
              </w:rPr>
              <w:t xml:space="preserve">SDOH indicators at health units. Luanne asked about activity at other health units with regards to </w:t>
            </w:r>
            <w:r>
              <w:rPr>
                <w:rFonts w:cs="Arial"/>
                <w:sz w:val="22"/>
                <w:szCs w:val="22"/>
              </w:rPr>
              <w:lastRenderedPageBreak/>
              <w:t>SODH. Dinna identified 2 nurses at North Bay HU who are dedicated to this. Cam identified that OPH has a group that is involved in SDOH. Bill identified that the RRFSS is developing SDOH related indicators.</w:t>
            </w:r>
            <w:r w:rsidR="00067D1B">
              <w:rPr>
                <w:rFonts w:cs="Arial"/>
                <w:sz w:val="22"/>
                <w:szCs w:val="22"/>
              </w:rPr>
              <w:t xml:space="preserve"> This and the activity with </w:t>
            </w:r>
            <w:proofErr w:type="spellStart"/>
            <w:r w:rsidR="00067D1B">
              <w:rPr>
                <w:rFonts w:cs="Arial"/>
                <w:sz w:val="22"/>
                <w:szCs w:val="22"/>
              </w:rPr>
              <w:t>aLPHA</w:t>
            </w:r>
            <w:proofErr w:type="spellEnd"/>
            <w:r w:rsidR="00067D1B">
              <w:rPr>
                <w:rFonts w:cs="Arial"/>
                <w:sz w:val="22"/>
                <w:szCs w:val="22"/>
              </w:rPr>
              <w:t xml:space="preserve"> suggests that maybe a wider solicitation of information on the listserv may be useful to allow information sharing or soliciting input for new SDOH indicators.</w:t>
            </w:r>
          </w:p>
        </w:tc>
        <w:tc>
          <w:tcPr>
            <w:tcW w:w="1710" w:type="dxa"/>
            <w:tcBorders>
              <w:top w:val="nil"/>
            </w:tcBorders>
          </w:tcPr>
          <w:p w:rsidR="007F4BA0" w:rsidRDefault="00067D1B" w:rsidP="00D70086">
            <w:pPr>
              <w:rPr>
                <w:rFonts w:cs="Arial"/>
                <w:sz w:val="22"/>
                <w:szCs w:val="22"/>
              </w:rPr>
            </w:pPr>
            <w:r>
              <w:rPr>
                <w:rFonts w:cs="Arial"/>
                <w:sz w:val="22"/>
                <w:szCs w:val="22"/>
              </w:rPr>
              <w:lastRenderedPageBreak/>
              <w:t xml:space="preserve">Cam to explore survey of the </w:t>
            </w:r>
            <w:r>
              <w:rPr>
                <w:rFonts w:cs="Arial"/>
                <w:sz w:val="22"/>
                <w:szCs w:val="22"/>
              </w:rPr>
              <w:lastRenderedPageBreak/>
              <w:t>listserv.</w:t>
            </w:r>
          </w:p>
        </w:tc>
        <w:tc>
          <w:tcPr>
            <w:tcW w:w="1500" w:type="dxa"/>
            <w:tcBorders>
              <w:top w:val="single" w:sz="4" w:space="0" w:color="auto"/>
            </w:tcBorders>
          </w:tcPr>
          <w:p w:rsidR="007F4BA0" w:rsidRDefault="007F4BA0" w:rsidP="0009572E">
            <w:pPr>
              <w:jc w:val="center"/>
              <w:rPr>
                <w:rFonts w:cs="Arial"/>
                <w:sz w:val="22"/>
                <w:szCs w:val="22"/>
              </w:rPr>
            </w:pPr>
          </w:p>
        </w:tc>
      </w:tr>
      <w:tr w:rsidR="009B5BB3" w:rsidRPr="00895A3B" w:rsidTr="00CD6F69">
        <w:trPr>
          <w:jc w:val="center"/>
        </w:trPr>
        <w:tc>
          <w:tcPr>
            <w:tcW w:w="1260" w:type="dxa"/>
            <w:tcBorders>
              <w:top w:val="nil"/>
            </w:tcBorders>
          </w:tcPr>
          <w:p w:rsidR="009B5BB3" w:rsidRDefault="009B5BB3" w:rsidP="00FC424E">
            <w:pPr>
              <w:jc w:val="right"/>
              <w:rPr>
                <w:rFonts w:cs="Arial"/>
                <w:sz w:val="22"/>
                <w:szCs w:val="22"/>
              </w:rPr>
            </w:pPr>
            <w:r>
              <w:rPr>
                <w:rFonts w:cs="Arial"/>
                <w:sz w:val="22"/>
                <w:szCs w:val="22"/>
              </w:rPr>
              <w:lastRenderedPageBreak/>
              <w:t>4.4</w:t>
            </w:r>
          </w:p>
        </w:tc>
        <w:tc>
          <w:tcPr>
            <w:tcW w:w="5342" w:type="dxa"/>
            <w:tcBorders>
              <w:top w:val="nil"/>
            </w:tcBorders>
          </w:tcPr>
          <w:p w:rsidR="009B5BB3" w:rsidRDefault="009B5BB3" w:rsidP="007F4BA0">
            <w:pPr>
              <w:rPr>
                <w:rFonts w:cs="Arial"/>
                <w:sz w:val="22"/>
                <w:szCs w:val="22"/>
              </w:rPr>
            </w:pPr>
            <w:r>
              <w:rPr>
                <w:rFonts w:cs="Arial"/>
                <w:sz w:val="22"/>
                <w:szCs w:val="22"/>
              </w:rPr>
              <w:t xml:space="preserve">Welcome to Dinna Lozano from </w:t>
            </w:r>
            <w:r w:rsidRPr="009B5BB3">
              <w:rPr>
                <w:rFonts w:cs="Arial"/>
                <w:sz w:val="22"/>
                <w:szCs w:val="22"/>
              </w:rPr>
              <w:t>North Bay Parry Sound District Health Unit</w:t>
            </w:r>
            <w:r>
              <w:rPr>
                <w:rFonts w:cs="Arial"/>
                <w:sz w:val="22"/>
                <w:szCs w:val="22"/>
              </w:rPr>
              <w:t xml:space="preserve"> who just joined the group.</w:t>
            </w:r>
          </w:p>
        </w:tc>
        <w:tc>
          <w:tcPr>
            <w:tcW w:w="1710" w:type="dxa"/>
            <w:tcBorders>
              <w:top w:val="nil"/>
            </w:tcBorders>
          </w:tcPr>
          <w:p w:rsidR="009B5BB3" w:rsidRDefault="009B5BB3" w:rsidP="00D70086">
            <w:pPr>
              <w:rPr>
                <w:rFonts w:cs="Arial"/>
                <w:sz w:val="22"/>
                <w:szCs w:val="22"/>
              </w:rPr>
            </w:pPr>
          </w:p>
        </w:tc>
        <w:tc>
          <w:tcPr>
            <w:tcW w:w="1500" w:type="dxa"/>
            <w:tcBorders>
              <w:top w:val="single" w:sz="4" w:space="0" w:color="auto"/>
            </w:tcBorders>
          </w:tcPr>
          <w:p w:rsidR="009B5BB3" w:rsidRDefault="009B5BB3" w:rsidP="0009572E">
            <w:pPr>
              <w:jc w:val="center"/>
              <w:rPr>
                <w:rFonts w:cs="Arial"/>
                <w:sz w:val="22"/>
                <w:szCs w:val="22"/>
              </w:rPr>
            </w:pPr>
          </w:p>
        </w:tc>
      </w:tr>
      <w:tr w:rsidR="0016450C" w:rsidRPr="00895A3B" w:rsidTr="00CD6F69">
        <w:trPr>
          <w:jc w:val="center"/>
        </w:trPr>
        <w:tc>
          <w:tcPr>
            <w:tcW w:w="1260" w:type="dxa"/>
          </w:tcPr>
          <w:p w:rsidR="0016450C" w:rsidRPr="00E03ED6" w:rsidRDefault="0016450C">
            <w:pPr>
              <w:rPr>
                <w:rFonts w:cs="Arial"/>
                <w:b/>
                <w:sz w:val="22"/>
                <w:szCs w:val="22"/>
              </w:rPr>
            </w:pPr>
            <w:r>
              <w:rPr>
                <w:rFonts w:cs="Arial"/>
                <w:b/>
                <w:sz w:val="22"/>
                <w:szCs w:val="22"/>
              </w:rPr>
              <w:t>5</w:t>
            </w:r>
            <w:r w:rsidRPr="00E03ED6">
              <w:rPr>
                <w:rFonts w:cs="Arial"/>
                <w:b/>
                <w:sz w:val="22"/>
                <w:szCs w:val="22"/>
              </w:rPr>
              <w:t>.0</w:t>
            </w:r>
          </w:p>
        </w:tc>
        <w:tc>
          <w:tcPr>
            <w:tcW w:w="5342" w:type="dxa"/>
          </w:tcPr>
          <w:p w:rsidR="0016450C" w:rsidRPr="00E03ED6" w:rsidRDefault="0016450C" w:rsidP="00953D8E">
            <w:pPr>
              <w:rPr>
                <w:rFonts w:cs="Arial"/>
                <w:b/>
                <w:sz w:val="22"/>
                <w:szCs w:val="22"/>
              </w:rPr>
            </w:pPr>
            <w:r>
              <w:rPr>
                <w:rFonts w:cs="Arial"/>
                <w:b/>
                <w:sz w:val="22"/>
                <w:szCs w:val="22"/>
              </w:rPr>
              <w:t>Indicator Updates</w:t>
            </w:r>
          </w:p>
        </w:tc>
        <w:tc>
          <w:tcPr>
            <w:tcW w:w="1710" w:type="dxa"/>
          </w:tcPr>
          <w:p w:rsidR="0016450C" w:rsidRPr="00E03ED6" w:rsidRDefault="0016450C" w:rsidP="00953D8E">
            <w:pPr>
              <w:pStyle w:val="Heading3"/>
              <w:rPr>
                <w:rFonts w:cs="Arial"/>
                <w:sz w:val="22"/>
                <w:szCs w:val="22"/>
              </w:rPr>
            </w:pPr>
          </w:p>
        </w:tc>
        <w:tc>
          <w:tcPr>
            <w:tcW w:w="1500" w:type="dxa"/>
          </w:tcPr>
          <w:p w:rsidR="0016450C" w:rsidRPr="00E03ED6" w:rsidRDefault="0016450C" w:rsidP="0009572E">
            <w:pPr>
              <w:jc w:val="center"/>
              <w:rPr>
                <w:rFonts w:cs="Arial"/>
                <w:sz w:val="22"/>
                <w:szCs w:val="22"/>
              </w:rPr>
            </w:pPr>
          </w:p>
        </w:tc>
      </w:tr>
      <w:tr w:rsidR="00D70086" w:rsidRPr="00895A3B" w:rsidTr="00CD6F69">
        <w:trPr>
          <w:jc w:val="center"/>
        </w:trPr>
        <w:tc>
          <w:tcPr>
            <w:tcW w:w="1260" w:type="dxa"/>
          </w:tcPr>
          <w:p w:rsidR="00D70086" w:rsidRPr="00E03ED6" w:rsidRDefault="00D70086" w:rsidP="00EE04AC">
            <w:pPr>
              <w:jc w:val="right"/>
              <w:rPr>
                <w:rFonts w:cs="Arial"/>
                <w:sz w:val="22"/>
                <w:szCs w:val="22"/>
              </w:rPr>
            </w:pPr>
            <w:r>
              <w:rPr>
                <w:rFonts w:cs="Arial"/>
                <w:sz w:val="22"/>
                <w:szCs w:val="22"/>
              </w:rPr>
              <w:t>5</w:t>
            </w:r>
            <w:r w:rsidRPr="00E03ED6">
              <w:rPr>
                <w:rFonts w:cs="Arial"/>
                <w:sz w:val="22"/>
                <w:szCs w:val="22"/>
              </w:rPr>
              <w:t>.1</w:t>
            </w:r>
          </w:p>
        </w:tc>
        <w:tc>
          <w:tcPr>
            <w:tcW w:w="5342" w:type="dxa"/>
          </w:tcPr>
          <w:p w:rsidR="00D70086" w:rsidRDefault="00D70086" w:rsidP="00B8526D">
            <w:pPr>
              <w:rPr>
                <w:rFonts w:cs="Arial"/>
                <w:sz w:val="22"/>
                <w:szCs w:val="22"/>
              </w:rPr>
            </w:pPr>
            <w:r>
              <w:rPr>
                <w:rFonts w:cs="Arial"/>
                <w:sz w:val="22"/>
                <w:szCs w:val="22"/>
              </w:rPr>
              <w:t xml:space="preserve">Crime rate: </w:t>
            </w:r>
            <w:r w:rsidR="00F66E18">
              <w:rPr>
                <w:rFonts w:cs="Arial"/>
                <w:sz w:val="22"/>
                <w:szCs w:val="22"/>
              </w:rPr>
              <w:t>indicator uploaded</w:t>
            </w:r>
          </w:p>
          <w:p w:rsidR="00D70086" w:rsidRDefault="00D70086" w:rsidP="00B8526D">
            <w:pPr>
              <w:rPr>
                <w:rFonts w:cs="Arial"/>
                <w:sz w:val="22"/>
                <w:szCs w:val="22"/>
              </w:rPr>
            </w:pPr>
            <w:r>
              <w:rPr>
                <w:rFonts w:cs="Arial"/>
                <w:sz w:val="22"/>
                <w:szCs w:val="22"/>
              </w:rPr>
              <w:t>Housing affordability indicator uploaded</w:t>
            </w:r>
          </w:p>
          <w:p w:rsidR="00D70086" w:rsidRDefault="00D70086" w:rsidP="00B8526D">
            <w:pPr>
              <w:rPr>
                <w:rFonts w:cs="Arial"/>
                <w:sz w:val="22"/>
                <w:szCs w:val="22"/>
              </w:rPr>
            </w:pPr>
          </w:p>
          <w:p w:rsidR="00D70086" w:rsidRPr="002622B3" w:rsidRDefault="00D70086" w:rsidP="00B8526D">
            <w:pPr>
              <w:rPr>
                <w:rFonts w:ascii="Calibri" w:hAnsi="Calibri"/>
                <w:color w:val="1F497D"/>
              </w:rPr>
            </w:pPr>
            <w:r>
              <w:rPr>
                <w:rFonts w:cs="Arial"/>
                <w:sz w:val="22"/>
                <w:szCs w:val="22"/>
              </w:rPr>
              <w:t xml:space="preserve">No reviews returned for home language update. </w:t>
            </w:r>
          </w:p>
        </w:tc>
        <w:tc>
          <w:tcPr>
            <w:tcW w:w="1710" w:type="dxa"/>
            <w:vMerge w:val="restart"/>
          </w:tcPr>
          <w:p w:rsidR="00D70086" w:rsidRPr="00AE7B19" w:rsidRDefault="00067D1B" w:rsidP="00067D1B">
            <w:pPr>
              <w:rPr>
                <w:lang w:val="en-CA"/>
              </w:rPr>
            </w:pPr>
            <w:r>
              <w:rPr>
                <w:rFonts w:cs="Arial"/>
                <w:sz w:val="22"/>
                <w:szCs w:val="22"/>
              </w:rPr>
              <w:t>No discussion. Pending indicators are available for review on the APHEO website or internally (commuting population).</w:t>
            </w:r>
          </w:p>
        </w:tc>
        <w:tc>
          <w:tcPr>
            <w:tcW w:w="1500" w:type="dxa"/>
            <w:vMerge w:val="restart"/>
          </w:tcPr>
          <w:p w:rsidR="00D70086" w:rsidRDefault="00D70086" w:rsidP="00786D83">
            <w:pPr>
              <w:jc w:val="center"/>
              <w:rPr>
                <w:rFonts w:cs="Arial"/>
                <w:sz w:val="22"/>
                <w:szCs w:val="22"/>
              </w:rPr>
            </w:pPr>
            <w:r>
              <w:rPr>
                <w:rFonts w:cs="Arial"/>
                <w:sz w:val="22"/>
                <w:szCs w:val="22"/>
              </w:rPr>
              <w:t xml:space="preserve"> </w:t>
            </w:r>
          </w:p>
          <w:p w:rsidR="00D70086" w:rsidRPr="00E03ED6" w:rsidRDefault="00D70086" w:rsidP="00145BBD">
            <w:pPr>
              <w:rPr>
                <w:rFonts w:cs="Arial"/>
                <w:sz w:val="22"/>
                <w:szCs w:val="22"/>
              </w:rPr>
            </w:pPr>
            <w:r>
              <w:rPr>
                <w:rFonts w:cs="Arial"/>
                <w:sz w:val="22"/>
                <w:szCs w:val="22"/>
              </w:rPr>
              <w:t xml:space="preserve"> </w:t>
            </w:r>
          </w:p>
        </w:tc>
      </w:tr>
      <w:tr w:rsidR="00D70086" w:rsidRPr="00895A3B" w:rsidTr="00CD6F69">
        <w:trPr>
          <w:trHeight w:val="278"/>
          <w:jc w:val="center"/>
        </w:trPr>
        <w:tc>
          <w:tcPr>
            <w:tcW w:w="1260" w:type="dxa"/>
          </w:tcPr>
          <w:p w:rsidR="00D70086" w:rsidRPr="00E03ED6" w:rsidRDefault="00D70086" w:rsidP="00EE04AC">
            <w:pPr>
              <w:jc w:val="right"/>
              <w:rPr>
                <w:rFonts w:cs="Arial"/>
                <w:sz w:val="22"/>
                <w:szCs w:val="22"/>
              </w:rPr>
            </w:pPr>
            <w:r>
              <w:rPr>
                <w:rFonts w:cs="Arial"/>
                <w:sz w:val="22"/>
                <w:szCs w:val="22"/>
              </w:rPr>
              <w:t>5.2</w:t>
            </w:r>
          </w:p>
        </w:tc>
        <w:tc>
          <w:tcPr>
            <w:tcW w:w="5342" w:type="dxa"/>
          </w:tcPr>
          <w:p w:rsidR="00D70086" w:rsidRDefault="00D70086" w:rsidP="007A558B">
            <w:pPr>
              <w:rPr>
                <w:rFonts w:cs="Arial"/>
                <w:sz w:val="22"/>
                <w:szCs w:val="22"/>
              </w:rPr>
            </w:pPr>
            <w:r w:rsidRPr="00F44712">
              <w:rPr>
                <w:rFonts w:cs="Arial"/>
                <w:sz w:val="22"/>
                <w:szCs w:val="22"/>
              </w:rPr>
              <w:t>Home Language</w:t>
            </w:r>
            <w:r>
              <w:rPr>
                <w:rFonts w:cs="Arial"/>
                <w:sz w:val="22"/>
                <w:szCs w:val="22"/>
              </w:rPr>
              <w:t xml:space="preserve"> </w:t>
            </w:r>
          </w:p>
          <w:p w:rsidR="00D70086" w:rsidRPr="00311F46" w:rsidRDefault="00D70086" w:rsidP="00107945">
            <w:pPr>
              <w:rPr>
                <w:rFonts w:cs="Arial"/>
                <w:sz w:val="22"/>
                <w:szCs w:val="22"/>
              </w:rPr>
            </w:pPr>
            <w:r>
              <w:rPr>
                <w:rFonts w:cs="Arial"/>
                <w:sz w:val="22"/>
                <w:szCs w:val="22"/>
              </w:rPr>
              <w:t>Complete with no revisions from the group//no external reviews received</w:t>
            </w:r>
          </w:p>
        </w:tc>
        <w:tc>
          <w:tcPr>
            <w:tcW w:w="1710" w:type="dxa"/>
            <w:vMerge/>
          </w:tcPr>
          <w:p w:rsidR="00D70086" w:rsidRPr="00145BBD" w:rsidRDefault="00D70086" w:rsidP="00832789">
            <w:pPr>
              <w:spacing w:before="120" w:after="120"/>
              <w:rPr>
                <w:rFonts w:cs="Arial"/>
                <w:sz w:val="22"/>
                <w:szCs w:val="22"/>
              </w:rPr>
            </w:pPr>
          </w:p>
        </w:tc>
        <w:tc>
          <w:tcPr>
            <w:tcW w:w="1500" w:type="dxa"/>
            <w:vMerge/>
          </w:tcPr>
          <w:p w:rsidR="00D70086" w:rsidRPr="00E03ED6" w:rsidRDefault="00D70086" w:rsidP="0009572E">
            <w:pPr>
              <w:jc w:val="center"/>
              <w:rPr>
                <w:rFonts w:cs="Arial"/>
                <w:sz w:val="22"/>
                <w:szCs w:val="22"/>
              </w:rPr>
            </w:pPr>
          </w:p>
        </w:tc>
      </w:tr>
      <w:tr w:rsidR="00D70086" w:rsidRPr="00895A3B" w:rsidTr="00CD6F69">
        <w:trPr>
          <w:trHeight w:val="362"/>
          <w:jc w:val="center"/>
        </w:trPr>
        <w:tc>
          <w:tcPr>
            <w:tcW w:w="1260" w:type="dxa"/>
          </w:tcPr>
          <w:p w:rsidR="00D70086" w:rsidRPr="00E03ED6" w:rsidRDefault="00D70086" w:rsidP="00EE04AC">
            <w:pPr>
              <w:jc w:val="right"/>
              <w:rPr>
                <w:rFonts w:cs="Arial"/>
                <w:sz w:val="22"/>
                <w:szCs w:val="22"/>
              </w:rPr>
            </w:pPr>
            <w:r>
              <w:rPr>
                <w:rFonts w:cs="Arial"/>
                <w:sz w:val="22"/>
                <w:szCs w:val="22"/>
              </w:rPr>
              <w:t>5.3</w:t>
            </w:r>
          </w:p>
        </w:tc>
        <w:tc>
          <w:tcPr>
            <w:tcW w:w="5342" w:type="dxa"/>
          </w:tcPr>
          <w:p w:rsidR="00D70086" w:rsidRPr="00F44712" w:rsidRDefault="00D70086" w:rsidP="00953D8E">
            <w:pPr>
              <w:rPr>
                <w:rFonts w:cs="Arial"/>
                <w:sz w:val="22"/>
                <w:szCs w:val="22"/>
              </w:rPr>
            </w:pPr>
            <w:r w:rsidRPr="00F44712">
              <w:rPr>
                <w:rFonts w:cs="Arial"/>
                <w:sz w:val="22"/>
                <w:szCs w:val="22"/>
              </w:rPr>
              <w:t>Commuting Population</w:t>
            </w:r>
            <w:r>
              <w:rPr>
                <w:rFonts w:cs="Arial"/>
                <w:sz w:val="22"/>
                <w:szCs w:val="22"/>
              </w:rPr>
              <w:t xml:space="preserve"> </w:t>
            </w:r>
          </w:p>
        </w:tc>
        <w:tc>
          <w:tcPr>
            <w:tcW w:w="1710" w:type="dxa"/>
            <w:vMerge/>
          </w:tcPr>
          <w:p w:rsidR="00D70086" w:rsidRPr="00E03ED6" w:rsidRDefault="00D70086" w:rsidP="00953D8E">
            <w:pPr>
              <w:pStyle w:val="Heading3"/>
              <w:rPr>
                <w:rFonts w:cs="Arial"/>
                <w:sz w:val="22"/>
                <w:szCs w:val="22"/>
              </w:rPr>
            </w:pPr>
          </w:p>
        </w:tc>
        <w:tc>
          <w:tcPr>
            <w:tcW w:w="1500" w:type="dxa"/>
            <w:vMerge/>
          </w:tcPr>
          <w:p w:rsidR="00D70086" w:rsidRPr="00E03ED6" w:rsidRDefault="00D70086" w:rsidP="00D43635">
            <w:pPr>
              <w:jc w:val="center"/>
              <w:rPr>
                <w:rFonts w:cs="Arial"/>
                <w:sz w:val="22"/>
                <w:szCs w:val="22"/>
              </w:rPr>
            </w:pPr>
          </w:p>
        </w:tc>
      </w:tr>
      <w:tr w:rsidR="00D70086" w:rsidRPr="00895A3B" w:rsidTr="00CD6F69">
        <w:trPr>
          <w:jc w:val="center"/>
        </w:trPr>
        <w:tc>
          <w:tcPr>
            <w:tcW w:w="1260" w:type="dxa"/>
          </w:tcPr>
          <w:p w:rsidR="00D70086" w:rsidRPr="00E03ED6" w:rsidRDefault="00D70086" w:rsidP="00EE04AC">
            <w:pPr>
              <w:jc w:val="right"/>
              <w:rPr>
                <w:rFonts w:cs="Arial"/>
                <w:sz w:val="22"/>
                <w:szCs w:val="22"/>
              </w:rPr>
            </w:pPr>
            <w:r>
              <w:rPr>
                <w:rFonts w:cs="Arial"/>
                <w:sz w:val="22"/>
                <w:szCs w:val="22"/>
              </w:rPr>
              <w:t>5.4</w:t>
            </w:r>
          </w:p>
        </w:tc>
        <w:tc>
          <w:tcPr>
            <w:tcW w:w="5342" w:type="dxa"/>
          </w:tcPr>
          <w:p w:rsidR="00D70086" w:rsidRPr="00F44712" w:rsidRDefault="00D70086" w:rsidP="00953D8E">
            <w:pPr>
              <w:rPr>
                <w:rFonts w:cs="Arial"/>
                <w:sz w:val="22"/>
                <w:szCs w:val="22"/>
              </w:rPr>
            </w:pPr>
            <w:r>
              <w:rPr>
                <w:rFonts w:cs="Arial"/>
                <w:sz w:val="22"/>
                <w:szCs w:val="22"/>
              </w:rPr>
              <w:t>Housing affordability</w:t>
            </w:r>
          </w:p>
        </w:tc>
        <w:tc>
          <w:tcPr>
            <w:tcW w:w="1710" w:type="dxa"/>
            <w:vMerge/>
          </w:tcPr>
          <w:p w:rsidR="00D70086" w:rsidRPr="00207D2B" w:rsidRDefault="00D70086" w:rsidP="00207D2B">
            <w:pPr>
              <w:rPr>
                <w:rFonts w:ascii="Calibri" w:hAnsi="Calibri" w:cs="Arial"/>
                <w:sz w:val="22"/>
                <w:szCs w:val="22"/>
              </w:rPr>
            </w:pPr>
          </w:p>
        </w:tc>
        <w:tc>
          <w:tcPr>
            <w:tcW w:w="1500" w:type="dxa"/>
            <w:vMerge/>
          </w:tcPr>
          <w:p w:rsidR="00D70086" w:rsidRPr="00E03ED6" w:rsidRDefault="00D70086" w:rsidP="0009572E">
            <w:pPr>
              <w:jc w:val="center"/>
              <w:rPr>
                <w:rFonts w:cs="Arial"/>
                <w:sz w:val="22"/>
                <w:szCs w:val="22"/>
              </w:rPr>
            </w:pPr>
          </w:p>
        </w:tc>
      </w:tr>
      <w:tr w:rsidR="00D70086" w:rsidRPr="00895A3B" w:rsidTr="00CD6F69">
        <w:trPr>
          <w:jc w:val="center"/>
        </w:trPr>
        <w:tc>
          <w:tcPr>
            <w:tcW w:w="1260" w:type="dxa"/>
          </w:tcPr>
          <w:p w:rsidR="00D70086" w:rsidRDefault="00D70086" w:rsidP="00EE04AC">
            <w:pPr>
              <w:jc w:val="right"/>
              <w:rPr>
                <w:rFonts w:cs="Arial"/>
                <w:sz w:val="22"/>
                <w:szCs w:val="22"/>
              </w:rPr>
            </w:pPr>
            <w:r>
              <w:rPr>
                <w:rFonts w:cs="Arial"/>
                <w:sz w:val="22"/>
                <w:szCs w:val="22"/>
              </w:rPr>
              <w:t>5.5</w:t>
            </w:r>
          </w:p>
        </w:tc>
        <w:tc>
          <w:tcPr>
            <w:tcW w:w="5342" w:type="dxa"/>
          </w:tcPr>
          <w:p w:rsidR="00D70086" w:rsidRDefault="00D70086" w:rsidP="00953D8E">
            <w:pPr>
              <w:rPr>
                <w:rFonts w:cs="Arial"/>
                <w:sz w:val="22"/>
                <w:szCs w:val="22"/>
              </w:rPr>
            </w:pPr>
            <w:r>
              <w:rPr>
                <w:rFonts w:cs="Arial"/>
                <w:sz w:val="22"/>
                <w:szCs w:val="22"/>
              </w:rPr>
              <w:t>Commuting population: [attached]</w:t>
            </w:r>
          </w:p>
        </w:tc>
        <w:tc>
          <w:tcPr>
            <w:tcW w:w="1710" w:type="dxa"/>
            <w:vMerge/>
          </w:tcPr>
          <w:p w:rsidR="00D70086" w:rsidRDefault="00D70086" w:rsidP="00207D2B">
            <w:pPr>
              <w:rPr>
                <w:rFonts w:ascii="Calibri" w:hAnsi="Calibri" w:cs="Arial"/>
                <w:sz w:val="22"/>
                <w:szCs w:val="22"/>
              </w:rPr>
            </w:pPr>
          </w:p>
        </w:tc>
        <w:tc>
          <w:tcPr>
            <w:tcW w:w="1500" w:type="dxa"/>
            <w:vMerge/>
          </w:tcPr>
          <w:p w:rsidR="00D70086" w:rsidRPr="00E03ED6" w:rsidRDefault="00D70086" w:rsidP="0009572E">
            <w:pPr>
              <w:jc w:val="center"/>
              <w:rPr>
                <w:rFonts w:cs="Arial"/>
                <w:sz w:val="22"/>
                <w:szCs w:val="22"/>
              </w:rPr>
            </w:pPr>
          </w:p>
        </w:tc>
      </w:tr>
      <w:tr w:rsidR="0016450C" w:rsidRPr="00895A3B" w:rsidTr="00CD6F69">
        <w:trPr>
          <w:jc w:val="center"/>
        </w:trPr>
        <w:tc>
          <w:tcPr>
            <w:tcW w:w="1260" w:type="dxa"/>
          </w:tcPr>
          <w:p w:rsidR="0016450C" w:rsidRPr="00E03ED6" w:rsidRDefault="0016450C" w:rsidP="009860C2">
            <w:pPr>
              <w:jc w:val="right"/>
              <w:rPr>
                <w:rFonts w:cs="Arial"/>
                <w:sz w:val="22"/>
                <w:szCs w:val="22"/>
              </w:rPr>
            </w:pPr>
            <w:r>
              <w:rPr>
                <w:rFonts w:cs="Arial"/>
                <w:sz w:val="22"/>
                <w:szCs w:val="22"/>
              </w:rPr>
              <w:t>5.</w:t>
            </w:r>
            <w:r w:rsidR="009860C2">
              <w:rPr>
                <w:rFonts w:cs="Arial"/>
                <w:sz w:val="22"/>
                <w:szCs w:val="22"/>
              </w:rPr>
              <w:t>6</w:t>
            </w:r>
          </w:p>
        </w:tc>
        <w:tc>
          <w:tcPr>
            <w:tcW w:w="5342" w:type="dxa"/>
          </w:tcPr>
          <w:p w:rsidR="0016450C" w:rsidRDefault="0016450C" w:rsidP="00E572A4">
            <w:pPr>
              <w:rPr>
                <w:rFonts w:cs="Arial"/>
                <w:sz w:val="22"/>
                <w:szCs w:val="22"/>
              </w:rPr>
            </w:pPr>
            <w:r>
              <w:rPr>
                <w:rFonts w:cs="Arial"/>
                <w:sz w:val="22"/>
                <w:szCs w:val="22"/>
              </w:rPr>
              <w:t>Indicators t</w:t>
            </w:r>
            <w:r w:rsidRPr="0074739B">
              <w:rPr>
                <w:rFonts w:cs="Arial"/>
                <w:sz w:val="22"/>
                <w:szCs w:val="22"/>
              </w:rPr>
              <w:t>o be completed</w:t>
            </w:r>
            <w:r>
              <w:rPr>
                <w:rFonts w:cs="Arial"/>
                <w:sz w:val="22"/>
                <w:szCs w:val="22"/>
              </w:rPr>
              <w:t>:</w:t>
            </w:r>
          </w:p>
          <w:p w:rsidR="0016450C" w:rsidRPr="00972688" w:rsidRDefault="0016450C" w:rsidP="00E572A4">
            <w:pPr>
              <w:rPr>
                <w:rFonts w:cs="Arial"/>
                <w:b/>
                <w:sz w:val="22"/>
                <w:szCs w:val="22"/>
                <w:u w:val="single"/>
              </w:rPr>
            </w:pPr>
            <w:r w:rsidRPr="00972688">
              <w:rPr>
                <w:rFonts w:cs="Arial"/>
                <w:b/>
                <w:sz w:val="22"/>
                <w:szCs w:val="22"/>
                <w:u w:val="single"/>
              </w:rPr>
              <w:t>Population indicators:</w:t>
            </w:r>
          </w:p>
          <w:p w:rsidR="0016450C" w:rsidRPr="006E0469" w:rsidRDefault="0016450C" w:rsidP="00E572A4">
            <w:pPr>
              <w:rPr>
                <w:rFonts w:cs="Arial"/>
                <w:sz w:val="22"/>
                <w:szCs w:val="22"/>
                <w:lang w:val="fr-CA"/>
              </w:rPr>
            </w:pPr>
            <w:proofErr w:type="spellStart"/>
            <w:r w:rsidRPr="006E0469">
              <w:rPr>
                <w:rFonts w:cs="Arial"/>
                <w:sz w:val="22"/>
                <w:szCs w:val="22"/>
                <w:lang w:val="fr-CA"/>
              </w:rPr>
              <w:t>Aboriginal</w:t>
            </w:r>
            <w:proofErr w:type="spellEnd"/>
            <w:r w:rsidRPr="006E0469">
              <w:rPr>
                <w:rFonts w:cs="Arial"/>
                <w:sz w:val="22"/>
                <w:szCs w:val="22"/>
                <w:lang w:val="fr-CA"/>
              </w:rPr>
              <w:t xml:space="preserve"> population – Alissa</w:t>
            </w:r>
          </w:p>
          <w:p w:rsidR="0016450C" w:rsidRPr="006E0469" w:rsidRDefault="0016450C" w:rsidP="00E572A4">
            <w:pPr>
              <w:rPr>
                <w:rFonts w:cs="Arial"/>
                <w:sz w:val="22"/>
                <w:szCs w:val="22"/>
                <w:lang w:val="fr-CA"/>
              </w:rPr>
            </w:pPr>
            <w:r w:rsidRPr="006E0469">
              <w:rPr>
                <w:rFonts w:cs="Arial"/>
                <w:sz w:val="22"/>
                <w:szCs w:val="22"/>
                <w:lang w:val="fr-CA"/>
              </w:rPr>
              <w:t>Immigrant population – Suzanne and Nancy</w:t>
            </w:r>
          </w:p>
          <w:p w:rsidR="0016450C" w:rsidRPr="00972688" w:rsidRDefault="0016450C" w:rsidP="00E572A4">
            <w:pPr>
              <w:rPr>
                <w:rFonts w:cs="Arial"/>
                <w:sz w:val="22"/>
                <w:szCs w:val="22"/>
              </w:rPr>
            </w:pPr>
            <w:r w:rsidRPr="00972688">
              <w:rPr>
                <w:rFonts w:cs="Arial"/>
                <w:sz w:val="22"/>
                <w:szCs w:val="22"/>
              </w:rPr>
              <w:t xml:space="preserve">Ethnic/Cultural Origin – </w:t>
            </w:r>
            <w:smartTag w:uri="urn:schemas-microsoft-com:office:smarttags" w:element="place">
              <w:r w:rsidRPr="00972688">
                <w:rPr>
                  <w:rFonts w:cs="Arial"/>
                  <w:sz w:val="22"/>
                  <w:szCs w:val="22"/>
                </w:rPr>
                <w:t>Cam</w:t>
              </w:r>
            </w:smartTag>
          </w:p>
          <w:p w:rsidR="0016450C" w:rsidRPr="00972688" w:rsidRDefault="0016450C" w:rsidP="00E572A4">
            <w:pPr>
              <w:rPr>
                <w:rFonts w:cs="Arial"/>
                <w:sz w:val="22"/>
                <w:szCs w:val="22"/>
              </w:rPr>
            </w:pPr>
            <w:r w:rsidRPr="00972688">
              <w:rPr>
                <w:rFonts w:cs="Arial"/>
                <w:sz w:val="22"/>
                <w:szCs w:val="22"/>
              </w:rPr>
              <w:t>Mother Tongue – Alissa</w:t>
            </w:r>
          </w:p>
          <w:p w:rsidR="0016450C" w:rsidRPr="00972688" w:rsidRDefault="0016450C" w:rsidP="00E572A4">
            <w:pPr>
              <w:rPr>
                <w:rFonts w:cs="Arial"/>
                <w:sz w:val="22"/>
                <w:szCs w:val="22"/>
              </w:rPr>
            </w:pPr>
            <w:r w:rsidRPr="00972688">
              <w:rPr>
                <w:rFonts w:cs="Arial"/>
                <w:sz w:val="22"/>
                <w:szCs w:val="22"/>
              </w:rPr>
              <w:t>Home language – Bill</w:t>
            </w:r>
            <w:r w:rsidR="00D70086">
              <w:rPr>
                <w:rFonts w:cs="Arial"/>
                <w:sz w:val="22"/>
                <w:szCs w:val="22"/>
              </w:rPr>
              <w:t xml:space="preserve"> in review</w:t>
            </w:r>
          </w:p>
          <w:p w:rsidR="0016450C" w:rsidRPr="00972688" w:rsidRDefault="0016450C" w:rsidP="00E572A4">
            <w:pPr>
              <w:rPr>
                <w:rFonts w:cs="Arial"/>
                <w:sz w:val="22"/>
                <w:szCs w:val="22"/>
              </w:rPr>
            </w:pPr>
            <w:r w:rsidRPr="00972688">
              <w:rPr>
                <w:rFonts w:cs="Arial"/>
                <w:sz w:val="22"/>
                <w:szCs w:val="22"/>
              </w:rPr>
              <w:t>% don’t speak English or French – Cam</w:t>
            </w:r>
          </w:p>
          <w:p w:rsidR="0016450C" w:rsidRPr="00972688" w:rsidRDefault="0016450C" w:rsidP="00E572A4">
            <w:pPr>
              <w:rPr>
                <w:rFonts w:cs="Arial"/>
                <w:sz w:val="22"/>
                <w:szCs w:val="22"/>
              </w:rPr>
            </w:pPr>
          </w:p>
          <w:p w:rsidR="0016450C" w:rsidRPr="00972688" w:rsidRDefault="0016450C" w:rsidP="00E572A4">
            <w:pPr>
              <w:rPr>
                <w:rFonts w:cs="Arial"/>
                <w:b/>
                <w:sz w:val="22"/>
                <w:szCs w:val="22"/>
                <w:u w:val="single"/>
              </w:rPr>
            </w:pPr>
            <w:r w:rsidRPr="00972688">
              <w:rPr>
                <w:rFonts w:cs="Arial"/>
                <w:b/>
                <w:sz w:val="22"/>
                <w:szCs w:val="22"/>
                <w:u w:val="single"/>
              </w:rPr>
              <w:t>Social Environment and Health indicators:</w:t>
            </w:r>
          </w:p>
          <w:p w:rsidR="0016450C" w:rsidRPr="00972688" w:rsidRDefault="0016450C" w:rsidP="00E572A4">
            <w:pPr>
              <w:rPr>
                <w:rFonts w:cs="Arial"/>
                <w:sz w:val="22"/>
                <w:szCs w:val="22"/>
              </w:rPr>
            </w:pPr>
            <w:r w:rsidRPr="00972688">
              <w:rPr>
                <w:rFonts w:cs="Arial"/>
                <w:sz w:val="22"/>
                <w:szCs w:val="22"/>
              </w:rPr>
              <w:t xml:space="preserve">Unemployment rate – Virginia – </w:t>
            </w:r>
            <w:r w:rsidRPr="00972688">
              <w:rPr>
                <w:rFonts w:cs="Arial"/>
                <w:i/>
                <w:sz w:val="22"/>
                <w:szCs w:val="22"/>
              </w:rPr>
              <w:t xml:space="preserve">in </w:t>
            </w:r>
            <w:r w:rsidR="00D70086">
              <w:rPr>
                <w:rFonts w:cs="Arial"/>
                <w:i/>
                <w:sz w:val="22"/>
                <w:szCs w:val="22"/>
              </w:rPr>
              <w:t>review</w:t>
            </w:r>
          </w:p>
          <w:p w:rsidR="0016450C" w:rsidRPr="00972688" w:rsidRDefault="0016450C" w:rsidP="00E572A4">
            <w:pPr>
              <w:rPr>
                <w:rFonts w:cs="Arial"/>
                <w:sz w:val="22"/>
                <w:szCs w:val="22"/>
              </w:rPr>
            </w:pPr>
            <w:proofErr w:type="spellStart"/>
            <w:r w:rsidRPr="00972688">
              <w:rPr>
                <w:rFonts w:cs="Arial"/>
                <w:sz w:val="22"/>
                <w:szCs w:val="22"/>
              </w:rPr>
              <w:t>Labour</w:t>
            </w:r>
            <w:proofErr w:type="spellEnd"/>
            <w:r w:rsidRPr="00972688">
              <w:rPr>
                <w:rFonts w:cs="Arial"/>
                <w:sz w:val="22"/>
                <w:szCs w:val="22"/>
              </w:rPr>
              <w:t xml:space="preserve"> Force Participation – Virginia – </w:t>
            </w:r>
            <w:r w:rsidRPr="00972688">
              <w:rPr>
                <w:rFonts w:cs="Arial"/>
                <w:i/>
                <w:sz w:val="22"/>
                <w:szCs w:val="22"/>
              </w:rPr>
              <w:t>in</w:t>
            </w:r>
            <w:r w:rsidR="00D70086">
              <w:rPr>
                <w:rFonts w:cs="Arial"/>
                <w:i/>
                <w:sz w:val="22"/>
                <w:szCs w:val="22"/>
              </w:rPr>
              <w:t xml:space="preserve"> review</w:t>
            </w:r>
          </w:p>
          <w:p w:rsidR="0016450C" w:rsidRPr="00972688" w:rsidRDefault="0016450C" w:rsidP="00E572A4">
            <w:pPr>
              <w:rPr>
                <w:rFonts w:cs="Arial"/>
                <w:sz w:val="22"/>
                <w:szCs w:val="22"/>
              </w:rPr>
            </w:pPr>
            <w:r w:rsidRPr="00972688">
              <w:rPr>
                <w:rFonts w:cs="Arial"/>
                <w:sz w:val="22"/>
                <w:szCs w:val="22"/>
              </w:rPr>
              <w:t>Low income rate – Luanne</w:t>
            </w:r>
          </w:p>
          <w:p w:rsidR="0016450C" w:rsidRPr="00972688" w:rsidRDefault="0016450C" w:rsidP="00E572A4">
            <w:pPr>
              <w:rPr>
                <w:rFonts w:cs="Arial"/>
                <w:sz w:val="22"/>
                <w:szCs w:val="22"/>
              </w:rPr>
            </w:pPr>
            <w:r w:rsidRPr="00972688">
              <w:rPr>
                <w:rFonts w:cs="Arial"/>
                <w:sz w:val="22"/>
                <w:szCs w:val="22"/>
              </w:rPr>
              <w:t>Income inequality – Luanne</w:t>
            </w:r>
          </w:p>
          <w:p w:rsidR="0016450C" w:rsidRPr="00972688" w:rsidRDefault="0016450C" w:rsidP="00E572A4">
            <w:pPr>
              <w:rPr>
                <w:rFonts w:cs="Arial"/>
                <w:sz w:val="22"/>
                <w:szCs w:val="22"/>
              </w:rPr>
            </w:pPr>
            <w:r w:rsidRPr="00972688">
              <w:rPr>
                <w:rFonts w:cs="Arial"/>
                <w:sz w:val="22"/>
                <w:szCs w:val="22"/>
              </w:rPr>
              <w:t xml:space="preserve">Housing affordability – </w:t>
            </w:r>
            <w:proofErr w:type="spellStart"/>
            <w:r w:rsidRPr="00972688">
              <w:rPr>
                <w:rFonts w:cs="Arial"/>
                <w:sz w:val="22"/>
                <w:szCs w:val="22"/>
              </w:rPr>
              <w:t>Ahalya</w:t>
            </w:r>
            <w:proofErr w:type="spellEnd"/>
            <w:r w:rsidRPr="00972688">
              <w:rPr>
                <w:rFonts w:cs="Arial"/>
                <w:sz w:val="22"/>
                <w:szCs w:val="22"/>
              </w:rPr>
              <w:t xml:space="preserve"> – </w:t>
            </w:r>
            <w:r w:rsidRPr="00972688">
              <w:rPr>
                <w:rFonts w:cs="Arial"/>
                <w:i/>
                <w:sz w:val="22"/>
                <w:szCs w:val="22"/>
              </w:rPr>
              <w:t xml:space="preserve">in </w:t>
            </w:r>
            <w:r w:rsidR="00D70086">
              <w:rPr>
                <w:rFonts w:cs="Arial"/>
                <w:i/>
                <w:sz w:val="22"/>
                <w:szCs w:val="22"/>
              </w:rPr>
              <w:t>review</w:t>
            </w:r>
          </w:p>
          <w:p w:rsidR="0016450C" w:rsidRPr="00972688" w:rsidRDefault="0016450C" w:rsidP="00E572A4">
            <w:pPr>
              <w:rPr>
                <w:rFonts w:cs="Arial"/>
                <w:sz w:val="22"/>
                <w:szCs w:val="22"/>
              </w:rPr>
            </w:pPr>
            <w:r w:rsidRPr="00972688">
              <w:rPr>
                <w:rFonts w:cs="Arial"/>
                <w:sz w:val="22"/>
                <w:szCs w:val="22"/>
              </w:rPr>
              <w:t>Single Parent Families – Bill</w:t>
            </w:r>
          </w:p>
          <w:p w:rsidR="0016450C" w:rsidRPr="00972688" w:rsidRDefault="0016450C" w:rsidP="00E572A4">
            <w:pPr>
              <w:rPr>
                <w:rFonts w:cs="Arial"/>
                <w:sz w:val="22"/>
                <w:szCs w:val="22"/>
              </w:rPr>
            </w:pPr>
            <w:r w:rsidRPr="00972688">
              <w:rPr>
                <w:rFonts w:cs="Arial"/>
                <w:sz w:val="22"/>
                <w:szCs w:val="22"/>
              </w:rPr>
              <w:t>Living Arrangements for Seniors – Alissa</w:t>
            </w:r>
          </w:p>
          <w:p w:rsidR="0016450C" w:rsidRPr="00972688" w:rsidRDefault="0016450C" w:rsidP="00E572A4">
            <w:pPr>
              <w:rPr>
                <w:rFonts w:cs="Arial"/>
                <w:sz w:val="22"/>
                <w:szCs w:val="22"/>
              </w:rPr>
            </w:pPr>
            <w:r w:rsidRPr="00972688">
              <w:rPr>
                <w:rFonts w:cs="Arial"/>
                <w:sz w:val="22"/>
                <w:szCs w:val="22"/>
              </w:rPr>
              <w:t>Education – Suzanne</w:t>
            </w:r>
          </w:p>
          <w:p w:rsidR="0016450C" w:rsidRDefault="0016450C" w:rsidP="00972688">
            <w:pPr>
              <w:rPr>
                <w:rFonts w:cs="Arial"/>
                <w:sz w:val="22"/>
                <w:szCs w:val="22"/>
              </w:rPr>
            </w:pPr>
            <w:r w:rsidRPr="00972688">
              <w:rPr>
                <w:rFonts w:cs="Arial"/>
                <w:sz w:val="22"/>
                <w:szCs w:val="22"/>
              </w:rPr>
              <w:t>Commuting Population – Cam</w:t>
            </w:r>
            <w:r w:rsidR="00D70086">
              <w:rPr>
                <w:rFonts w:cs="Arial"/>
                <w:sz w:val="22"/>
                <w:szCs w:val="22"/>
              </w:rPr>
              <w:t xml:space="preserve"> </w:t>
            </w:r>
            <w:r w:rsidR="00D70086" w:rsidRPr="00D70086">
              <w:rPr>
                <w:rFonts w:cs="Arial"/>
                <w:i/>
                <w:sz w:val="22"/>
                <w:szCs w:val="22"/>
              </w:rPr>
              <w:t>for internal review</w:t>
            </w:r>
          </w:p>
          <w:p w:rsidR="00D70086" w:rsidRDefault="00D70086" w:rsidP="00972688">
            <w:pPr>
              <w:rPr>
                <w:rFonts w:cs="Arial"/>
                <w:sz w:val="22"/>
                <w:szCs w:val="22"/>
              </w:rPr>
            </w:pPr>
          </w:p>
          <w:p w:rsidR="00D70086" w:rsidRDefault="00D70086" w:rsidP="00972688">
            <w:pPr>
              <w:rPr>
                <w:rFonts w:cs="Arial"/>
                <w:sz w:val="22"/>
                <w:szCs w:val="22"/>
              </w:rPr>
            </w:pPr>
            <w:r>
              <w:rPr>
                <w:rFonts w:cs="Arial"/>
                <w:sz w:val="22"/>
                <w:szCs w:val="22"/>
              </w:rPr>
              <w:t xml:space="preserve">The indicators if members </w:t>
            </w:r>
            <w:r w:rsidR="009B5BB3">
              <w:rPr>
                <w:rFonts w:cs="Arial"/>
                <w:sz w:val="22"/>
                <w:szCs w:val="22"/>
              </w:rPr>
              <w:t xml:space="preserve">can be </w:t>
            </w:r>
            <w:r>
              <w:rPr>
                <w:rFonts w:cs="Arial"/>
                <w:sz w:val="22"/>
                <w:szCs w:val="22"/>
              </w:rPr>
              <w:t xml:space="preserve">redistributed to the group. Cam will follow up with Alissa and Suzanne Fontana.  </w:t>
            </w:r>
            <w:r w:rsidR="009B5BB3">
              <w:rPr>
                <w:rFonts w:cs="Arial"/>
                <w:sz w:val="22"/>
                <w:szCs w:val="22"/>
              </w:rPr>
              <w:t xml:space="preserve">Suzanne got dropped from the email list, unfortunately but Cam will follow up. </w:t>
            </w:r>
            <w:r>
              <w:rPr>
                <w:rFonts w:cs="Arial"/>
                <w:sz w:val="22"/>
                <w:szCs w:val="22"/>
              </w:rPr>
              <w:t xml:space="preserve">The commuting population indicator should be reviewed over the upcoming weeks and posted for external review. External reviews of pending indicators will be collected and distributed for discussion at the next meeting. The intent is to complete these indicators and approve them at the next meeting in July. </w:t>
            </w:r>
          </w:p>
          <w:p w:rsidR="00D70086" w:rsidRPr="00E03ED6" w:rsidRDefault="00D70086" w:rsidP="00972688">
            <w:pPr>
              <w:rPr>
                <w:rFonts w:cs="Arial"/>
                <w:sz w:val="22"/>
                <w:szCs w:val="22"/>
              </w:rPr>
            </w:pPr>
          </w:p>
        </w:tc>
        <w:tc>
          <w:tcPr>
            <w:tcW w:w="1710" w:type="dxa"/>
          </w:tcPr>
          <w:p w:rsidR="00306883" w:rsidRDefault="00D70086" w:rsidP="00953D8E">
            <w:pPr>
              <w:pStyle w:val="Heading3"/>
              <w:rPr>
                <w:rFonts w:cs="Arial"/>
                <w:sz w:val="22"/>
                <w:szCs w:val="22"/>
              </w:rPr>
            </w:pPr>
            <w:r>
              <w:rPr>
                <w:rFonts w:cs="Arial"/>
                <w:sz w:val="22"/>
                <w:szCs w:val="22"/>
              </w:rPr>
              <w:t>Cam</w:t>
            </w:r>
          </w:p>
          <w:p w:rsidR="00306883" w:rsidRDefault="00306883" w:rsidP="00953D8E">
            <w:pPr>
              <w:pStyle w:val="Heading3"/>
              <w:rPr>
                <w:rFonts w:cs="Arial"/>
                <w:sz w:val="22"/>
                <w:szCs w:val="22"/>
              </w:rPr>
            </w:pPr>
          </w:p>
          <w:p w:rsidR="00306883" w:rsidRDefault="00306883" w:rsidP="00953D8E">
            <w:pPr>
              <w:pStyle w:val="Heading3"/>
              <w:rPr>
                <w:rFonts w:cs="Arial"/>
                <w:sz w:val="22"/>
                <w:szCs w:val="22"/>
              </w:rPr>
            </w:pPr>
          </w:p>
          <w:p w:rsidR="00306883" w:rsidRDefault="00306883" w:rsidP="00953D8E">
            <w:pPr>
              <w:pStyle w:val="Heading3"/>
              <w:rPr>
                <w:rFonts w:cs="Arial"/>
                <w:sz w:val="22"/>
                <w:szCs w:val="22"/>
              </w:rPr>
            </w:pPr>
          </w:p>
          <w:p w:rsidR="00306883" w:rsidRDefault="00306883" w:rsidP="00953D8E">
            <w:pPr>
              <w:pStyle w:val="Heading3"/>
              <w:rPr>
                <w:rFonts w:cs="Arial"/>
                <w:sz w:val="22"/>
                <w:szCs w:val="22"/>
              </w:rPr>
            </w:pPr>
          </w:p>
          <w:p w:rsidR="00306883" w:rsidRDefault="00306883" w:rsidP="00953D8E">
            <w:pPr>
              <w:pStyle w:val="Heading3"/>
              <w:rPr>
                <w:rFonts w:cs="Arial"/>
                <w:sz w:val="22"/>
                <w:szCs w:val="22"/>
              </w:rPr>
            </w:pPr>
          </w:p>
          <w:p w:rsidR="00306883" w:rsidRDefault="00306883" w:rsidP="00953D8E">
            <w:pPr>
              <w:pStyle w:val="Heading3"/>
              <w:rPr>
                <w:rFonts w:cs="Arial"/>
                <w:sz w:val="22"/>
                <w:szCs w:val="22"/>
              </w:rPr>
            </w:pPr>
          </w:p>
          <w:p w:rsidR="00306883" w:rsidRDefault="00306883" w:rsidP="00953D8E">
            <w:pPr>
              <w:pStyle w:val="Heading3"/>
              <w:rPr>
                <w:rFonts w:cs="Arial"/>
                <w:sz w:val="22"/>
                <w:szCs w:val="22"/>
              </w:rPr>
            </w:pPr>
          </w:p>
          <w:p w:rsidR="00306883" w:rsidRDefault="00306883" w:rsidP="00953D8E">
            <w:pPr>
              <w:pStyle w:val="Heading3"/>
              <w:rPr>
                <w:rFonts w:cs="Arial"/>
                <w:sz w:val="22"/>
                <w:szCs w:val="22"/>
              </w:rPr>
            </w:pPr>
          </w:p>
          <w:p w:rsidR="00306883" w:rsidRDefault="00306883" w:rsidP="00953D8E">
            <w:pPr>
              <w:pStyle w:val="Heading3"/>
              <w:rPr>
                <w:rFonts w:cs="Arial"/>
                <w:sz w:val="22"/>
                <w:szCs w:val="22"/>
              </w:rPr>
            </w:pPr>
          </w:p>
          <w:p w:rsidR="00306883" w:rsidRDefault="00306883" w:rsidP="00953D8E">
            <w:pPr>
              <w:pStyle w:val="Heading3"/>
              <w:rPr>
                <w:rFonts w:cs="Arial"/>
                <w:sz w:val="22"/>
                <w:szCs w:val="22"/>
              </w:rPr>
            </w:pPr>
          </w:p>
          <w:p w:rsidR="00306883" w:rsidRDefault="00306883" w:rsidP="00953D8E">
            <w:pPr>
              <w:pStyle w:val="Heading3"/>
              <w:rPr>
                <w:rFonts w:cs="Arial"/>
                <w:sz w:val="22"/>
                <w:szCs w:val="22"/>
              </w:rPr>
            </w:pPr>
          </w:p>
          <w:p w:rsidR="00306883" w:rsidRDefault="00306883" w:rsidP="00953D8E">
            <w:pPr>
              <w:pStyle w:val="Heading3"/>
              <w:rPr>
                <w:rFonts w:cs="Arial"/>
                <w:sz w:val="22"/>
                <w:szCs w:val="22"/>
              </w:rPr>
            </w:pPr>
          </w:p>
          <w:p w:rsidR="00306883" w:rsidRDefault="00306883" w:rsidP="00953D8E">
            <w:pPr>
              <w:pStyle w:val="Heading3"/>
              <w:rPr>
                <w:rFonts w:cs="Arial"/>
                <w:sz w:val="22"/>
                <w:szCs w:val="22"/>
              </w:rPr>
            </w:pPr>
          </w:p>
          <w:p w:rsidR="0016450C" w:rsidRDefault="00D70086" w:rsidP="00953D8E">
            <w:pPr>
              <w:pStyle w:val="Heading3"/>
              <w:rPr>
                <w:rFonts w:cs="Arial"/>
                <w:sz w:val="22"/>
                <w:szCs w:val="22"/>
              </w:rPr>
            </w:pPr>
            <w:r>
              <w:rPr>
                <w:rFonts w:cs="Arial"/>
                <w:sz w:val="22"/>
                <w:szCs w:val="22"/>
              </w:rPr>
              <w:t>.</w:t>
            </w:r>
          </w:p>
          <w:p w:rsidR="00D70086" w:rsidRDefault="00D70086" w:rsidP="00D70086"/>
          <w:p w:rsidR="00D70086" w:rsidRPr="00D70086" w:rsidRDefault="00D70086" w:rsidP="00306883">
            <w:r w:rsidRPr="00D70086">
              <w:rPr>
                <w:rFonts w:cs="Arial"/>
                <w:sz w:val="22"/>
                <w:szCs w:val="22"/>
              </w:rPr>
              <w:t xml:space="preserve">Cam </w:t>
            </w:r>
          </w:p>
        </w:tc>
        <w:tc>
          <w:tcPr>
            <w:tcW w:w="1500" w:type="dxa"/>
          </w:tcPr>
          <w:p w:rsidR="00306883" w:rsidRDefault="00306883" w:rsidP="00D43635">
            <w:pPr>
              <w:jc w:val="center"/>
              <w:rPr>
                <w:rFonts w:cs="Arial"/>
                <w:sz w:val="22"/>
                <w:szCs w:val="22"/>
              </w:rPr>
            </w:pPr>
            <w:r>
              <w:rPr>
                <w:rFonts w:cs="Arial"/>
                <w:sz w:val="22"/>
                <w:szCs w:val="22"/>
              </w:rPr>
              <w:t>Follow up with Alissa Palangio and Suzanne</w:t>
            </w:r>
          </w:p>
          <w:p w:rsidR="00306883" w:rsidRDefault="00306883" w:rsidP="00D43635">
            <w:pPr>
              <w:jc w:val="center"/>
              <w:rPr>
                <w:rFonts w:cs="Arial"/>
                <w:sz w:val="22"/>
                <w:szCs w:val="22"/>
              </w:rPr>
            </w:pPr>
          </w:p>
          <w:p w:rsidR="00306883" w:rsidRDefault="00306883" w:rsidP="00D43635">
            <w:pPr>
              <w:jc w:val="center"/>
              <w:rPr>
                <w:rFonts w:cs="Arial"/>
                <w:sz w:val="22"/>
                <w:szCs w:val="22"/>
              </w:rPr>
            </w:pPr>
          </w:p>
          <w:p w:rsidR="00306883" w:rsidRDefault="00306883" w:rsidP="00D43635">
            <w:pPr>
              <w:jc w:val="center"/>
              <w:rPr>
                <w:rFonts w:cs="Arial"/>
                <w:sz w:val="22"/>
                <w:szCs w:val="22"/>
              </w:rPr>
            </w:pPr>
          </w:p>
          <w:p w:rsidR="00306883" w:rsidRDefault="00306883" w:rsidP="00D43635">
            <w:pPr>
              <w:jc w:val="center"/>
              <w:rPr>
                <w:rFonts w:cs="Arial"/>
                <w:sz w:val="22"/>
                <w:szCs w:val="22"/>
              </w:rPr>
            </w:pPr>
          </w:p>
          <w:p w:rsidR="00306883" w:rsidRDefault="00306883" w:rsidP="00D43635">
            <w:pPr>
              <w:jc w:val="center"/>
              <w:rPr>
                <w:rFonts w:cs="Arial"/>
                <w:sz w:val="22"/>
                <w:szCs w:val="22"/>
              </w:rPr>
            </w:pPr>
          </w:p>
          <w:p w:rsidR="00306883" w:rsidRDefault="00306883" w:rsidP="00D43635">
            <w:pPr>
              <w:jc w:val="center"/>
              <w:rPr>
                <w:rFonts w:cs="Arial"/>
                <w:sz w:val="22"/>
                <w:szCs w:val="22"/>
              </w:rPr>
            </w:pPr>
          </w:p>
          <w:p w:rsidR="00306883" w:rsidRDefault="00306883" w:rsidP="00D43635">
            <w:pPr>
              <w:jc w:val="center"/>
              <w:rPr>
                <w:rFonts w:cs="Arial"/>
                <w:sz w:val="22"/>
                <w:szCs w:val="22"/>
              </w:rPr>
            </w:pPr>
          </w:p>
          <w:p w:rsidR="00306883" w:rsidRDefault="00306883" w:rsidP="00D43635">
            <w:pPr>
              <w:jc w:val="center"/>
              <w:rPr>
                <w:rFonts w:cs="Arial"/>
                <w:sz w:val="22"/>
                <w:szCs w:val="22"/>
              </w:rPr>
            </w:pPr>
          </w:p>
          <w:p w:rsidR="00306883" w:rsidRDefault="00306883" w:rsidP="00D43635">
            <w:pPr>
              <w:jc w:val="center"/>
              <w:rPr>
                <w:rFonts w:cs="Arial"/>
                <w:sz w:val="22"/>
                <w:szCs w:val="22"/>
              </w:rPr>
            </w:pPr>
          </w:p>
          <w:p w:rsidR="00306883" w:rsidRDefault="00306883" w:rsidP="00D43635">
            <w:pPr>
              <w:jc w:val="center"/>
              <w:rPr>
                <w:rFonts w:cs="Arial"/>
                <w:sz w:val="22"/>
                <w:szCs w:val="22"/>
              </w:rPr>
            </w:pPr>
          </w:p>
          <w:p w:rsidR="0016450C" w:rsidRPr="00E03ED6" w:rsidRDefault="00306883" w:rsidP="00306883">
            <w:pPr>
              <w:rPr>
                <w:rFonts w:cs="Arial"/>
                <w:sz w:val="22"/>
                <w:szCs w:val="22"/>
              </w:rPr>
            </w:pPr>
            <w:r>
              <w:rPr>
                <w:rFonts w:cs="Arial"/>
                <w:sz w:val="22"/>
                <w:szCs w:val="22"/>
              </w:rPr>
              <w:t xml:space="preserve"> </w:t>
            </w:r>
            <w:r w:rsidRPr="00D70086">
              <w:rPr>
                <w:rFonts w:cs="Arial"/>
                <w:sz w:val="22"/>
                <w:szCs w:val="22"/>
              </w:rPr>
              <w:t xml:space="preserve">to collate reviews for </w:t>
            </w:r>
            <w:proofErr w:type="spellStart"/>
            <w:r w:rsidRPr="00D70086">
              <w:rPr>
                <w:rFonts w:cs="Arial"/>
                <w:sz w:val="22"/>
                <w:szCs w:val="22"/>
              </w:rPr>
              <w:t>distribution.</w:t>
            </w:r>
            <w:r>
              <w:rPr>
                <w:rFonts w:cs="Arial"/>
                <w:sz w:val="22"/>
                <w:szCs w:val="22"/>
              </w:rPr>
              <w:t>Fontana</w:t>
            </w:r>
            <w:proofErr w:type="spellEnd"/>
          </w:p>
        </w:tc>
      </w:tr>
      <w:tr w:rsidR="0016450C" w:rsidRPr="00895A3B" w:rsidTr="00CD6F69">
        <w:trPr>
          <w:jc w:val="center"/>
        </w:trPr>
        <w:tc>
          <w:tcPr>
            <w:tcW w:w="1260" w:type="dxa"/>
          </w:tcPr>
          <w:p w:rsidR="0016450C" w:rsidRPr="00E03ED6" w:rsidRDefault="0016450C">
            <w:pPr>
              <w:rPr>
                <w:rFonts w:cs="Arial"/>
                <w:b/>
                <w:sz w:val="22"/>
                <w:szCs w:val="22"/>
              </w:rPr>
            </w:pPr>
            <w:r>
              <w:rPr>
                <w:rFonts w:cs="Arial"/>
                <w:b/>
                <w:sz w:val="22"/>
                <w:szCs w:val="22"/>
              </w:rPr>
              <w:t>6.0</w:t>
            </w:r>
          </w:p>
        </w:tc>
        <w:tc>
          <w:tcPr>
            <w:tcW w:w="5342" w:type="dxa"/>
          </w:tcPr>
          <w:p w:rsidR="0016450C" w:rsidRPr="00E03ED6" w:rsidRDefault="0016450C">
            <w:pPr>
              <w:rPr>
                <w:rFonts w:cs="Arial"/>
                <w:b/>
                <w:sz w:val="22"/>
                <w:szCs w:val="22"/>
              </w:rPr>
            </w:pPr>
            <w:r>
              <w:rPr>
                <w:rFonts w:cs="Arial"/>
                <w:b/>
                <w:sz w:val="22"/>
                <w:szCs w:val="22"/>
              </w:rPr>
              <w:t>Standing Items</w:t>
            </w:r>
          </w:p>
        </w:tc>
        <w:tc>
          <w:tcPr>
            <w:tcW w:w="1710" w:type="dxa"/>
          </w:tcPr>
          <w:p w:rsidR="0016450C" w:rsidRPr="00E03ED6" w:rsidRDefault="0016450C">
            <w:pPr>
              <w:rPr>
                <w:rFonts w:cs="Arial"/>
                <w:sz w:val="22"/>
                <w:szCs w:val="22"/>
              </w:rPr>
            </w:pPr>
          </w:p>
        </w:tc>
        <w:tc>
          <w:tcPr>
            <w:tcW w:w="1500" w:type="dxa"/>
          </w:tcPr>
          <w:p w:rsidR="0016450C" w:rsidRPr="00E03ED6" w:rsidRDefault="0016450C" w:rsidP="0009572E">
            <w:pPr>
              <w:jc w:val="center"/>
              <w:rPr>
                <w:rFonts w:cs="Arial"/>
                <w:sz w:val="22"/>
                <w:szCs w:val="22"/>
              </w:rPr>
            </w:pPr>
          </w:p>
        </w:tc>
      </w:tr>
      <w:tr w:rsidR="0016450C" w:rsidRPr="00895A3B" w:rsidTr="00CD6F69">
        <w:trPr>
          <w:jc w:val="center"/>
        </w:trPr>
        <w:tc>
          <w:tcPr>
            <w:tcW w:w="1260" w:type="dxa"/>
          </w:tcPr>
          <w:p w:rsidR="0016450C" w:rsidRDefault="0016450C" w:rsidP="003B644E">
            <w:pPr>
              <w:jc w:val="right"/>
              <w:rPr>
                <w:rFonts w:cs="Arial"/>
                <w:sz w:val="22"/>
                <w:szCs w:val="22"/>
              </w:rPr>
            </w:pPr>
            <w:r>
              <w:rPr>
                <w:rFonts w:cs="Arial"/>
                <w:sz w:val="22"/>
                <w:szCs w:val="22"/>
              </w:rPr>
              <w:t>6.1</w:t>
            </w:r>
          </w:p>
        </w:tc>
        <w:tc>
          <w:tcPr>
            <w:tcW w:w="5342" w:type="dxa"/>
          </w:tcPr>
          <w:p w:rsidR="0016450C" w:rsidRDefault="0016450C">
            <w:pPr>
              <w:rPr>
                <w:rFonts w:cs="Arial"/>
                <w:sz w:val="22"/>
                <w:szCs w:val="22"/>
              </w:rPr>
            </w:pPr>
            <w:r w:rsidRPr="00C644DA">
              <w:rPr>
                <w:rFonts w:cs="Arial"/>
                <w:sz w:val="22"/>
                <w:szCs w:val="22"/>
              </w:rPr>
              <w:t>Core Indicators Working Group Update</w:t>
            </w:r>
            <w:r w:rsidR="00B8526D">
              <w:rPr>
                <w:rFonts w:cs="Arial"/>
                <w:sz w:val="22"/>
                <w:szCs w:val="22"/>
              </w:rPr>
              <w:t xml:space="preserve"> [attached]</w:t>
            </w:r>
          </w:p>
          <w:p w:rsidR="007F4BA0" w:rsidRDefault="007F4BA0">
            <w:pPr>
              <w:rPr>
                <w:rFonts w:cs="Arial"/>
                <w:sz w:val="22"/>
                <w:szCs w:val="22"/>
              </w:rPr>
            </w:pPr>
            <w:r>
              <w:rPr>
                <w:rFonts w:cs="Arial"/>
                <w:sz w:val="22"/>
                <w:szCs w:val="22"/>
              </w:rPr>
              <w:t>Thanks to Luanne for preparing this. No discussion</w:t>
            </w:r>
          </w:p>
          <w:p w:rsidR="007F4BA0" w:rsidRPr="00E86283" w:rsidRDefault="007F4BA0">
            <w:pPr>
              <w:rPr>
                <w:rFonts w:cs="Arial"/>
                <w:sz w:val="22"/>
                <w:szCs w:val="22"/>
              </w:rPr>
            </w:pPr>
          </w:p>
        </w:tc>
        <w:tc>
          <w:tcPr>
            <w:tcW w:w="1710" w:type="dxa"/>
          </w:tcPr>
          <w:p w:rsidR="0016450C" w:rsidRPr="00E03ED6" w:rsidRDefault="0016450C">
            <w:pPr>
              <w:rPr>
                <w:rFonts w:cs="Arial"/>
                <w:sz w:val="22"/>
                <w:szCs w:val="22"/>
              </w:rPr>
            </w:pPr>
          </w:p>
        </w:tc>
        <w:tc>
          <w:tcPr>
            <w:tcW w:w="1500" w:type="dxa"/>
          </w:tcPr>
          <w:p w:rsidR="0016450C" w:rsidRPr="00E03ED6" w:rsidRDefault="0016450C" w:rsidP="0009572E">
            <w:pPr>
              <w:jc w:val="center"/>
              <w:rPr>
                <w:rFonts w:cs="Arial"/>
                <w:sz w:val="22"/>
                <w:szCs w:val="22"/>
              </w:rPr>
            </w:pPr>
          </w:p>
        </w:tc>
      </w:tr>
      <w:tr w:rsidR="0016450C" w:rsidRPr="00895A3B" w:rsidTr="00CD6F69">
        <w:trPr>
          <w:jc w:val="center"/>
        </w:trPr>
        <w:tc>
          <w:tcPr>
            <w:tcW w:w="1260" w:type="dxa"/>
          </w:tcPr>
          <w:p w:rsidR="0016450C" w:rsidRDefault="0016450C" w:rsidP="00832789">
            <w:pPr>
              <w:jc w:val="right"/>
              <w:rPr>
                <w:rFonts w:cs="Arial"/>
                <w:sz w:val="22"/>
                <w:szCs w:val="22"/>
              </w:rPr>
            </w:pPr>
            <w:r>
              <w:rPr>
                <w:rFonts w:cs="Arial"/>
                <w:sz w:val="22"/>
                <w:szCs w:val="22"/>
              </w:rPr>
              <w:t>6.2</w:t>
            </w:r>
          </w:p>
          <w:p w:rsidR="0016450C" w:rsidRPr="003B644E" w:rsidRDefault="0016450C" w:rsidP="00832789">
            <w:pPr>
              <w:jc w:val="right"/>
              <w:rPr>
                <w:rFonts w:cs="Arial"/>
                <w:sz w:val="22"/>
                <w:szCs w:val="22"/>
              </w:rPr>
            </w:pPr>
          </w:p>
        </w:tc>
        <w:tc>
          <w:tcPr>
            <w:tcW w:w="5342" w:type="dxa"/>
          </w:tcPr>
          <w:p w:rsidR="0016450C" w:rsidRDefault="0016450C" w:rsidP="00832789">
            <w:pPr>
              <w:rPr>
                <w:rFonts w:cs="Arial"/>
                <w:sz w:val="22"/>
                <w:szCs w:val="22"/>
              </w:rPr>
            </w:pPr>
            <w:r>
              <w:rPr>
                <w:rFonts w:cs="Arial"/>
                <w:sz w:val="22"/>
                <w:szCs w:val="22"/>
              </w:rPr>
              <w:t>Items to bring forward to CIWG</w:t>
            </w:r>
          </w:p>
          <w:p w:rsidR="007F4BA0" w:rsidRDefault="007F4BA0" w:rsidP="00832789">
            <w:pPr>
              <w:rPr>
                <w:rFonts w:cs="Arial"/>
                <w:sz w:val="22"/>
                <w:szCs w:val="22"/>
              </w:rPr>
            </w:pPr>
          </w:p>
          <w:p w:rsidR="007F4BA0" w:rsidRDefault="007F4BA0" w:rsidP="00832789">
            <w:pPr>
              <w:rPr>
                <w:rFonts w:cs="Arial"/>
                <w:sz w:val="22"/>
                <w:szCs w:val="22"/>
              </w:rPr>
            </w:pPr>
            <w:r>
              <w:rPr>
                <w:rFonts w:cs="Arial"/>
                <w:sz w:val="22"/>
                <w:szCs w:val="22"/>
              </w:rPr>
              <w:t>Process for getting new indicators.</w:t>
            </w:r>
          </w:p>
          <w:p w:rsidR="0016450C" w:rsidRPr="00E86283" w:rsidRDefault="0016450C" w:rsidP="00832789">
            <w:pPr>
              <w:rPr>
                <w:rFonts w:cs="Arial"/>
                <w:sz w:val="22"/>
                <w:szCs w:val="22"/>
              </w:rPr>
            </w:pPr>
          </w:p>
        </w:tc>
        <w:tc>
          <w:tcPr>
            <w:tcW w:w="1710" w:type="dxa"/>
          </w:tcPr>
          <w:p w:rsidR="008D689C" w:rsidRPr="00E03ED6" w:rsidRDefault="009B5BB3" w:rsidP="00306883">
            <w:pPr>
              <w:rPr>
                <w:rFonts w:cs="Arial"/>
                <w:sz w:val="22"/>
                <w:szCs w:val="22"/>
              </w:rPr>
            </w:pPr>
            <w:r>
              <w:rPr>
                <w:rFonts w:cs="Arial"/>
                <w:sz w:val="22"/>
                <w:szCs w:val="22"/>
              </w:rPr>
              <w:t xml:space="preserve">Cam and Luanne </w:t>
            </w:r>
          </w:p>
        </w:tc>
        <w:tc>
          <w:tcPr>
            <w:tcW w:w="1500" w:type="dxa"/>
          </w:tcPr>
          <w:p w:rsidR="0016450C" w:rsidRPr="00E03ED6" w:rsidRDefault="00306883" w:rsidP="00832789">
            <w:pPr>
              <w:jc w:val="center"/>
              <w:rPr>
                <w:rFonts w:cs="Arial"/>
                <w:sz w:val="22"/>
                <w:szCs w:val="22"/>
              </w:rPr>
            </w:pPr>
            <w:r>
              <w:rPr>
                <w:rFonts w:cs="Arial"/>
                <w:sz w:val="22"/>
                <w:szCs w:val="22"/>
              </w:rPr>
              <w:t>to take to the CIWG</w:t>
            </w:r>
          </w:p>
        </w:tc>
      </w:tr>
      <w:tr w:rsidR="0016450C" w:rsidRPr="00895A3B" w:rsidTr="00CD6F69">
        <w:trPr>
          <w:jc w:val="center"/>
        </w:trPr>
        <w:tc>
          <w:tcPr>
            <w:tcW w:w="1260" w:type="dxa"/>
          </w:tcPr>
          <w:p w:rsidR="0016450C" w:rsidRPr="00E03ED6" w:rsidRDefault="0016450C">
            <w:pPr>
              <w:rPr>
                <w:rFonts w:cs="Arial"/>
                <w:b/>
                <w:sz w:val="22"/>
                <w:szCs w:val="22"/>
              </w:rPr>
            </w:pPr>
            <w:r>
              <w:rPr>
                <w:rFonts w:cs="Arial"/>
                <w:b/>
                <w:sz w:val="22"/>
                <w:szCs w:val="22"/>
              </w:rPr>
              <w:t>7</w:t>
            </w:r>
            <w:r w:rsidRPr="00E03ED6">
              <w:rPr>
                <w:rFonts w:cs="Arial"/>
                <w:b/>
                <w:sz w:val="22"/>
                <w:szCs w:val="22"/>
              </w:rPr>
              <w:t>.0</w:t>
            </w:r>
          </w:p>
        </w:tc>
        <w:tc>
          <w:tcPr>
            <w:tcW w:w="5342" w:type="dxa"/>
          </w:tcPr>
          <w:p w:rsidR="0016450C" w:rsidRPr="00634DC3" w:rsidRDefault="0016450C">
            <w:pPr>
              <w:rPr>
                <w:rFonts w:cs="Arial"/>
                <w:b/>
                <w:sz w:val="22"/>
                <w:szCs w:val="22"/>
              </w:rPr>
            </w:pPr>
            <w:r w:rsidRPr="00634DC3">
              <w:rPr>
                <w:rFonts w:cs="Arial"/>
                <w:b/>
                <w:sz w:val="22"/>
                <w:szCs w:val="22"/>
              </w:rPr>
              <w:t xml:space="preserve">Date, Time and Location of Next Meeting </w:t>
            </w:r>
          </w:p>
          <w:p w:rsidR="0016450C" w:rsidRPr="00634DC3" w:rsidRDefault="00B8526D" w:rsidP="00B8526D">
            <w:pPr>
              <w:rPr>
                <w:rFonts w:cs="Arial"/>
                <w:b/>
                <w:sz w:val="22"/>
                <w:szCs w:val="22"/>
              </w:rPr>
            </w:pPr>
            <w:r>
              <w:rPr>
                <w:rFonts w:cs="Arial"/>
                <w:sz w:val="22"/>
                <w:szCs w:val="22"/>
              </w:rPr>
              <w:t xml:space="preserve">July </w:t>
            </w:r>
            <w:r w:rsidR="00145BBD">
              <w:rPr>
                <w:rFonts w:cs="Arial"/>
                <w:sz w:val="22"/>
                <w:szCs w:val="22"/>
              </w:rPr>
              <w:t xml:space="preserve"> 1</w:t>
            </w:r>
            <w:r>
              <w:rPr>
                <w:rFonts w:cs="Arial"/>
                <w:sz w:val="22"/>
                <w:szCs w:val="22"/>
              </w:rPr>
              <w:t>8</w:t>
            </w:r>
            <w:r w:rsidR="00145BBD" w:rsidRPr="00145BBD">
              <w:rPr>
                <w:rFonts w:cs="Arial"/>
                <w:sz w:val="22"/>
                <w:szCs w:val="22"/>
                <w:vertAlign w:val="superscript"/>
              </w:rPr>
              <w:t>th</w:t>
            </w:r>
            <w:r w:rsidR="00145BBD">
              <w:rPr>
                <w:rFonts w:cs="Arial"/>
                <w:sz w:val="22"/>
                <w:szCs w:val="22"/>
              </w:rPr>
              <w:t>, 201</w:t>
            </w:r>
            <w:r>
              <w:rPr>
                <w:rFonts w:cs="Arial"/>
                <w:sz w:val="22"/>
                <w:szCs w:val="22"/>
              </w:rPr>
              <w:t>2</w:t>
            </w:r>
          </w:p>
        </w:tc>
        <w:tc>
          <w:tcPr>
            <w:tcW w:w="1710" w:type="dxa"/>
          </w:tcPr>
          <w:p w:rsidR="0016450C" w:rsidRPr="00E03ED6" w:rsidRDefault="0016450C">
            <w:pPr>
              <w:rPr>
                <w:rFonts w:cs="Arial"/>
                <w:sz w:val="22"/>
                <w:szCs w:val="22"/>
              </w:rPr>
            </w:pPr>
          </w:p>
        </w:tc>
        <w:tc>
          <w:tcPr>
            <w:tcW w:w="1500" w:type="dxa"/>
          </w:tcPr>
          <w:p w:rsidR="0016450C" w:rsidRPr="00E03ED6" w:rsidRDefault="0016450C" w:rsidP="0009572E">
            <w:pPr>
              <w:jc w:val="center"/>
              <w:rPr>
                <w:rFonts w:cs="Arial"/>
                <w:sz w:val="22"/>
                <w:szCs w:val="22"/>
              </w:rPr>
            </w:pPr>
          </w:p>
        </w:tc>
      </w:tr>
      <w:tr w:rsidR="0016450C" w:rsidRPr="00895A3B" w:rsidTr="00CD6F69">
        <w:trPr>
          <w:jc w:val="center"/>
        </w:trPr>
        <w:tc>
          <w:tcPr>
            <w:tcW w:w="1260" w:type="dxa"/>
          </w:tcPr>
          <w:p w:rsidR="0016450C" w:rsidRPr="00E03ED6" w:rsidRDefault="0016450C">
            <w:pPr>
              <w:rPr>
                <w:rFonts w:cs="Arial"/>
                <w:b/>
                <w:sz w:val="22"/>
                <w:szCs w:val="22"/>
              </w:rPr>
            </w:pPr>
          </w:p>
        </w:tc>
        <w:tc>
          <w:tcPr>
            <w:tcW w:w="5342" w:type="dxa"/>
          </w:tcPr>
          <w:p w:rsidR="00CD6F69" w:rsidRPr="00634DC3" w:rsidRDefault="00CD6F69" w:rsidP="00CD6F69">
            <w:pPr>
              <w:rPr>
                <w:rFonts w:cs="Arial"/>
                <w:b/>
                <w:sz w:val="22"/>
                <w:szCs w:val="22"/>
              </w:rPr>
            </w:pPr>
            <w:r w:rsidRPr="00CD6F69">
              <w:rPr>
                <w:rFonts w:cs="Arial"/>
                <w:sz w:val="22"/>
                <w:szCs w:val="22"/>
              </w:rPr>
              <w:t xml:space="preserve"> </w:t>
            </w:r>
          </w:p>
        </w:tc>
        <w:tc>
          <w:tcPr>
            <w:tcW w:w="1710" w:type="dxa"/>
          </w:tcPr>
          <w:p w:rsidR="0016450C" w:rsidRPr="00E03ED6" w:rsidRDefault="0016450C">
            <w:pPr>
              <w:rPr>
                <w:rFonts w:cs="Arial"/>
                <w:sz w:val="22"/>
                <w:szCs w:val="22"/>
              </w:rPr>
            </w:pPr>
          </w:p>
        </w:tc>
        <w:tc>
          <w:tcPr>
            <w:tcW w:w="1500" w:type="dxa"/>
          </w:tcPr>
          <w:p w:rsidR="0016450C" w:rsidRPr="00E03ED6" w:rsidRDefault="0016450C" w:rsidP="0009572E">
            <w:pPr>
              <w:jc w:val="center"/>
              <w:rPr>
                <w:rFonts w:cs="Arial"/>
                <w:sz w:val="22"/>
                <w:szCs w:val="22"/>
              </w:rPr>
            </w:pPr>
          </w:p>
        </w:tc>
      </w:tr>
    </w:tbl>
    <w:p w:rsidR="000E7C51" w:rsidRDefault="000E7C51" w:rsidP="00882A44"/>
    <w:p w:rsidR="00F44712" w:rsidRDefault="00F44712" w:rsidP="00882A44"/>
    <w:p w:rsidR="00F44712" w:rsidRPr="00895A3B" w:rsidRDefault="00F44712" w:rsidP="00882A44"/>
    <w:sectPr w:rsidR="00F44712" w:rsidRPr="00895A3B" w:rsidSect="00081866">
      <w:type w:val="continuous"/>
      <w:pgSz w:w="12240" w:h="15840"/>
      <w:pgMar w:top="1440" w:right="1440" w:bottom="90" w:left="1440" w:header="706" w:footer="706"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BA0" w:rsidRDefault="007F4BA0">
      <w:r>
        <w:separator/>
      </w:r>
    </w:p>
  </w:endnote>
  <w:endnote w:type="continuationSeparator" w:id="0">
    <w:p w:rsidR="007F4BA0" w:rsidRDefault="007F4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BA0" w:rsidRDefault="007F4BA0">
      <w:r>
        <w:separator/>
      </w:r>
    </w:p>
  </w:footnote>
  <w:footnote w:type="continuationSeparator" w:id="0">
    <w:p w:rsidR="007F4BA0" w:rsidRDefault="007F4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D66"/>
    <w:multiLevelType w:val="singleLevel"/>
    <w:tmpl w:val="6BF2A3AC"/>
    <w:lvl w:ilvl="0">
      <w:start w:val="1"/>
      <w:numFmt w:val="lowerRoman"/>
      <w:lvlText w:val="%1)"/>
      <w:lvlJc w:val="left"/>
      <w:pPr>
        <w:tabs>
          <w:tab w:val="num" w:pos="720"/>
        </w:tabs>
        <w:ind w:left="720" w:hanging="720"/>
      </w:pPr>
      <w:rPr>
        <w:rFonts w:hint="default"/>
      </w:rPr>
    </w:lvl>
  </w:abstractNum>
  <w:abstractNum w:abstractNumId="1">
    <w:nsid w:val="07493276"/>
    <w:multiLevelType w:val="multilevel"/>
    <w:tmpl w:val="34F4EB7E"/>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
    <w:nsid w:val="151036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26401E32"/>
    <w:multiLevelType w:val="hybridMultilevel"/>
    <w:tmpl w:val="34F4EB7E"/>
    <w:lvl w:ilvl="0" w:tplc="2812A40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305E3113"/>
    <w:multiLevelType w:val="hybridMultilevel"/>
    <w:tmpl w:val="D8664B52"/>
    <w:lvl w:ilvl="0" w:tplc="7A30F018">
      <w:start w:val="1"/>
      <w:numFmt w:val="bullet"/>
      <w:lvlText w:val=""/>
      <w:lvlJc w:val="left"/>
      <w:pPr>
        <w:tabs>
          <w:tab w:val="num" w:pos="360"/>
        </w:tabs>
        <w:ind w:left="360" w:hanging="360"/>
      </w:pPr>
      <w:rPr>
        <w:rFonts w:ascii="Symbol" w:hAnsi="Symbol" w:hint="default"/>
        <w:color w:val="auto"/>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nsid w:val="3F3A57F9"/>
    <w:multiLevelType w:val="multilevel"/>
    <w:tmpl w:val="4FC23110"/>
    <w:lvl w:ilvl="0">
      <w:start w:val="3"/>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23251A"/>
    <w:multiLevelType w:val="hybridMultilevel"/>
    <w:tmpl w:val="3F62FACA"/>
    <w:lvl w:ilvl="0" w:tplc="2812A40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429A616B"/>
    <w:multiLevelType w:val="multilevel"/>
    <w:tmpl w:val="0A06D830"/>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2A276DD"/>
    <w:multiLevelType w:val="hybridMultilevel"/>
    <w:tmpl w:val="BA3C1E66"/>
    <w:lvl w:ilvl="0" w:tplc="2812A40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43027180"/>
    <w:multiLevelType w:val="singleLevel"/>
    <w:tmpl w:val="0C090015"/>
    <w:lvl w:ilvl="0">
      <w:start w:val="1"/>
      <w:numFmt w:val="upperLetter"/>
      <w:lvlText w:val="%1."/>
      <w:lvlJc w:val="left"/>
      <w:pPr>
        <w:tabs>
          <w:tab w:val="num" w:pos="360"/>
        </w:tabs>
        <w:ind w:left="360" w:hanging="360"/>
      </w:pPr>
      <w:rPr>
        <w:rFonts w:hint="default"/>
      </w:rPr>
    </w:lvl>
  </w:abstractNum>
  <w:abstractNum w:abstractNumId="10">
    <w:nsid w:val="44DB3C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4E7B06CF"/>
    <w:multiLevelType w:val="multilevel"/>
    <w:tmpl w:val="2814E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0F625A0"/>
    <w:multiLevelType w:val="multilevel"/>
    <w:tmpl w:val="2814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8C2953"/>
    <w:multiLevelType w:val="singleLevel"/>
    <w:tmpl w:val="0409000F"/>
    <w:lvl w:ilvl="0">
      <w:start w:val="1"/>
      <w:numFmt w:val="decimal"/>
      <w:lvlText w:val="%1."/>
      <w:lvlJc w:val="left"/>
      <w:pPr>
        <w:tabs>
          <w:tab w:val="num" w:pos="360"/>
        </w:tabs>
        <w:ind w:left="360" w:hanging="360"/>
      </w:pPr>
    </w:lvl>
  </w:abstractNum>
  <w:abstractNum w:abstractNumId="14">
    <w:nsid w:val="5E8E4B53"/>
    <w:multiLevelType w:val="hybridMultilevel"/>
    <w:tmpl w:val="2A88310C"/>
    <w:lvl w:ilvl="0" w:tplc="0B74E2DC">
      <w:start w:val="1"/>
      <w:numFmt w:val="decimal"/>
      <w:lvlText w:val="%1."/>
      <w:lvlJc w:val="left"/>
      <w:pPr>
        <w:ind w:left="720" w:hanging="360"/>
      </w:pPr>
      <w:rPr>
        <w:rFonts w:ascii="Arial" w:eastAsia="Times New Roman"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74B6E4C"/>
    <w:multiLevelType w:val="hybridMultilevel"/>
    <w:tmpl w:val="34D09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455824"/>
    <w:multiLevelType w:val="hybridMultilevel"/>
    <w:tmpl w:val="61F0B2A8"/>
    <w:lvl w:ilvl="0" w:tplc="2812A40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3"/>
  </w:num>
  <w:num w:numId="2">
    <w:abstractNumId w:val="10"/>
  </w:num>
  <w:num w:numId="3">
    <w:abstractNumId w:val="2"/>
  </w:num>
  <w:num w:numId="4">
    <w:abstractNumId w:val="0"/>
  </w:num>
  <w:num w:numId="5">
    <w:abstractNumId w:val="9"/>
  </w:num>
  <w:num w:numId="6">
    <w:abstractNumId w:val="7"/>
  </w:num>
  <w:num w:numId="7">
    <w:abstractNumId w:val="5"/>
  </w:num>
  <w:num w:numId="8">
    <w:abstractNumId w:val="3"/>
  </w:num>
  <w:num w:numId="9">
    <w:abstractNumId w:val="16"/>
  </w:num>
  <w:num w:numId="10">
    <w:abstractNumId w:val="6"/>
  </w:num>
  <w:num w:numId="11">
    <w:abstractNumId w:val="1"/>
  </w:num>
  <w:num w:numId="12">
    <w:abstractNumId w:val="12"/>
  </w:num>
  <w:num w:numId="13">
    <w:abstractNumId w:val="11"/>
  </w:num>
  <w:num w:numId="14">
    <w:abstractNumId w:val="8"/>
  </w:num>
  <w:num w:numId="15">
    <w:abstractNumId w:val="1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A17B70"/>
    <w:rsid w:val="00012B99"/>
    <w:rsid w:val="0002132F"/>
    <w:rsid w:val="00022AA1"/>
    <w:rsid w:val="00022ACE"/>
    <w:rsid w:val="00027DE3"/>
    <w:rsid w:val="00040CBE"/>
    <w:rsid w:val="000431EF"/>
    <w:rsid w:val="000450B0"/>
    <w:rsid w:val="000509DF"/>
    <w:rsid w:val="00051D15"/>
    <w:rsid w:val="000605F6"/>
    <w:rsid w:val="0006359C"/>
    <w:rsid w:val="00063D01"/>
    <w:rsid w:val="00067D1B"/>
    <w:rsid w:val="00073AE0"/>
    <w:rsid w:val="00076642"/>
    <w:rsid w:val="00081866"/>
    <w:rsid w:val="00085FEE"/>
    <w:rsid w:val="00086CC6"/>
    <w:rsid w:val="0009004C"/>
    <w:rsid w:val="00094F34"/>
    <w:rsid w:val="0009572E"/>
    <w:rsid w:val="000A4871"/>
    <w:rsid w:val="000B0317"/>
    <w:rsid w:val="000B0F8F"/>
    <w:rsid w:val="000B705C"/>
    <w:rsid w:val="000C3088"/>
    <w:rsid w:val="000D01B3"/>
    <w:rsid w:val="000D037D"/>
    <w:rsid w:val="000D26FB"/>
    <w:rsid w:val="000D2A94"/>
    <w:rsid w:val="000D4E3A"/>
    <w:rsid w:val="000E434A"/>
    <w:rsid w:val="000E6D5B"/>
    <w:rsid w:val="000E7C51"/>
    <w:rsid w:val="000F3808"/>
    <w:rsid w:val="000F79EF"/>
    <w:rsid w:val="0010323E"/>
    <w:rsid w:val="00107945"/>
    <w:rsid w:val="0011287A"/>
    <w:rsid w:val="001178D4"/>
    <w:rsid w:val="00120D89"/>
    <w:rsid w:val="00122D68"/>
    <w:rsid w:val="00131BDD"/>
    <w:rsid w:val="00132174"/>
    <w:rsid w:val="00132C43"/>
    <w:rsid w:val="00136A0C"/>
    <w:rsid w:val="00136DA5"/>
    <w:rsid w:val="00137EC1"/>
    <w:rsid w:val="001425AD"/>
    <w:rsid w:val="00145BBD"/>
    <w:rsid w:val="0014708A"/>
    <w:rsid w:val="001511D5"/>
    <w:rsid w:val="0015268A"/>
    <w:rsid w:val="001638D6"/>
    <w:rsid w:val="0016450C"/>
    <w:rsid w:val="001657FC"/>
    <w:rsid w:val="00165AE3"/>
    <w:rsid w:val="00166222"/>
    <w:rsid w:val="00167057"/>
    <w:rsid w:val="001673BB"/>
    <w:rsid w:val="00167CEA"/>
    <w:rsid w:val="00170D30"/>
    <w:rsid w:val="00181CF1"/>
    <w:rsid w:val="00182A4F"/>
    <w:rsid w:val="0018738D"/>
    <w:rsid w:val="001975CC"/>
    <w:rsid w:val="001A0BD4"/>
    <w:rsid w:val="001B23DE"/>
    <w:rsid w:val="001B370F"/>
    <w:rsid w:val="001B5CD4"/>
    <w:rsid w:val="001B712C"/>
    <w:rsid w:val="001C69E8"/>
    <w:rsid w:val="001C6BEF"/>
    <w:rsid w:val="001E1F31"/>
    <w:rsid w:val="001E5491"/>
    <w:rsid w:val="001E5A80"/>
    <w:rsid w:val="001E5A84"/>
    <w:rsid w:val="001E7015"/>
    <w:rsid w:val="001F0524"/>
    <w:rsid w:val="001F0E66"/>
    <w:rsid w:val="001F229D"/>
    <w:rsid w:val="001F3B29"/>
    <w:rsid w:val="001F4487"/>
    <w:rsid w:val="001F70D5"/>
    <w:rsid w:val="002026E8"/>
    <w:rsid w:val="00207D2B"/>
    <w:rsid w:val="00213F01"/>
    <w:rsid w:val="00215A36"/>
    <w:rsid w:val="00225930"/>
    <w:rsid w:val="0023103A"/>
    <w:rsid w:val="00233065"/>
    <w:rsid w:val="002360AC"/>
    <w:rsid w:val="002379CD"/>
    <w:rsid w:val="00240ABF"/>
    <w:rsid w:val="0024116B"/>
    <w:rsid w:val="00241CE0"/>
    <w:rsid w:val="00241F7E"/>
    <w:rsid w:val="002448EE"/>
    <w:rsid w:val="002456CA"/>
    <w:rsid w:val="00250F9A"/>
    <w:rsid w:val="002529B0"/>
    <w:rsid w:val="002622B3"/>
    <w:rsid w:val="002639A5"/>
    <w:rsid w:val="00264453"/>
    <w:rsid w:val="002674F0"/>
    <w:rsid w:val="00273125"/>
    <w:rsid w:val="0028343C"/>
    <w:rsid w:val="00287054"/>
    <w:rsid w:val="0028794D"/>
    <w:rsid w:val="00291F17"/>
    <w:rsid w:val="002925F4"/>
    <w:rsid w:val="00293C7A"/>
    <w:rsid w:val="002958AF"/>
    <w:rsid w:val="002A3F32"/>
    <w:rsid w:val="002A64CD"/>
    <w:rsid w:val="002A767E"/>
    <w:rsid w:val="002B3026"/>
    <w:rsid w:val="002B4170"/>
    <w:rsid w:val="002B49F6"/>
    <w:rsid w:val="002C3902"/>
    <w:rsid w:val="002C51F5"/>
    <w:rsid w:val="002C6E0B"/>
    <w:rsid w:val="002C70BF"/>
    <w:rsid w:val="002D119A"/>
    <w:rsid w:val="002D2506"/>
    <w:rsid w:val="002D46FF"/>
    <w:rsid w:val="002E0797"/>
    <w:rsid w:val="002E0CF8"/>
    <w:rsid w:val="002F00F1"/>
    <w:rsid w:val="002F4183"/>
    <w:rsid w:val="00305CC8"/>
    <w:rsid w:val="00306883"/>
    <w:rsid w:val="00311A34"/>
    <w:rsid w:val="0032171B"/>
    <w:rsid w:val="00325FE3"/>
    <w:rsid w:val="00326F0B"/>
    <w:rsid w:val="00327350"/>
    <w:rsid w:val="00333A7E"/>
    <w:rsid w:val="00342792"/>
    <w:rsid w:val="00345E50"/>
    <w:rsid w:val="0034718C"/>
    <w:rsid w:val="0035119F"/>
    <w:rsid w:val="00353CDC"/>
    <w:rsid w:val="00361411"/>
    <w:rsid w:val="00362EAA"/>
    <w:rsid w:val="00366C8C"/>
    <w:rsid w:val="00373090"/>
    <w:rsid w:val="00380B06"/>
    <w:rsid w:val="003823C1"/>
    <w:rsid w:val="00382FA3"/>
    <w:rsid w:val="00386D14"/>
    <w:rsid w:val="00390F65"/>
    <w:rsid w:val="00392133"/>
    <w:rsid w:val="00393AB3"/>
    <w:rsid w:val="0039437D"/>
    <w:rsid w:val="003962E1"/>
    <w:rsid w:val="003A2E1D"/>
    <w:rsid w:val="003A35CE"/>
    <w:rsid w:val="003A3AAE"/>
    <w:rsid w:val="003B644E"/>
    <w:rsid w:val="003B704D"/>
    <w:rsid w:val="003C4791"/>
    <w:rsid w:val="003C66A8"/>
    <w:rsid w:val="003D4724"/>
    <w:rsid w:val="003D6F2B"/>
    <w:rsid w:val="003F633F"/>
    <w:rsid w:val="00400793"/>
    <w:rsid w:val="004013B8"/>
    <w:rsid w:val="00405C20"/>
    <w:rsid w:val="004117C9"/>
    <w:rsid w:val="00412E94"/>
    <w:rsid w:val="004134B3"/>
    <w:rsid w:val="00414860"/>
    <w:rsid w:val="00416928"/>
    <w:rsid w:val="00416B5C"/>
    <w:rsid w:val="00420AFB"/>
    <w:rsid w:val="00421C86"/>
    <w:rsid w:val="00432C3A"/>
    <w:rsid w:val="004365FA"/>
    <w:rsid w:val="0044062A"/>
    <w:rsid w:val="00442088"/>
    <w:rsid w:val="00445B0B"/>
    <w:rsid w:val="0045517F"/>
    <w:rsid w:val="00460485"/>
    <w:rsid w:val="004610EF"/>
    <w:rsid w:val="00464A70"/>
    <w:rsid w:val="00470BE8"/>
    <w:rsid w:val="00471DA4"/>
    <w:rsid w:val="00473A68"/>
    <w:rsid w:val="00483C90"/>
    <w:rsid w:val="0049002D"/>
    <w:rsid w:val="00493805"/>
    <w:rsid w:val="00496FDA"/>
    <w:rsid w:val="004A30B0"/>
    <w:rsid w:val="004A60C2"/>
    <w:rsid w:val="004A71C7"/>
    <w:rsid w:val="004B2836"/>
    <w:rsid w:val="004B57D3"/>
    <w:rsid w:val="004B7D37"/>
    <w:rsid w:val="004C7725"/>
    <w:rsid w:val="004D096A"/>
    <w:rsid w:val="004E133A"/>
    <w:rsid w:val="004E2C92"/>
    <w:rsid w:val="004E3BB4"/>
    <w:rsid w:val="004F04F8"/>
    <w:rsid w:val="004F2FE2"/>
    <w:rsid w:val="004F3154"/>
    <w:rsid w:val="004F587D"/>
    <w:rsid w:val="0050041F"/>
    <w:rsid w:val="00501EEC"/>
    <w:rsid w:val="00503E81"/>
    <w:rsid w:val="00506EC5"/>
    <w:rsid w:val="0051042A"/>
    <w:rsid w:val="005128C7"/>
    <w:rsid w:val="00512D30"/>
    <w:rsid w:val="00520369"/>
    <w:rsid w:val="00523E09"/>
    <w:rsid w:val="005245A0"/>
    <w:rsid w:val="00545050"/>
    <w:rsid w:val="005465EB"/>
    <w:rsid w:val="00547D22"/>
    <w:rsid w:val="00553CA8"/>
    <w:rsid w:val="0056097A"/>
    <w:rsid w:val="00563FFA"/>
    <w:rsid w:val="00566505"/>
    <w:rsid w:val="0057008C"/>
    <w:rsid w:val="0057343E"/>
    <w:rsid w:val="00577F92"/>
    <w:rsid w:val="00583309"/>
    <w:rsid w:val="00583BA9"/>
    <w:rsid w:val="00583CCD"/>
    <w:rsid w:val="00590F7E"/>
    <w:rsid w:val="00595A0B"/>
    <w:rsid w:val="005B05FE"/>
    <w:rsid w:val="005C4CD2"/>
    <w:rsid w:val="005C5F73"/>
    <w:rsid w:val="005D1367"/>
    <w:rsid w:val="005D6F13"/>
    <w:rsid w:val="005E43D7"/>
    <w:rsid w:val="005E6192"/>
    <w:rsid w:val="005F274C"/>
    <w:rsid w:val="005F2AFD"/>
    <w:rsid w:val="005F61A4"/>
    <w:rsid w:val="005F7174"/>
    <w:rsid w:val="005F773D"/>
    <w:rsid w:val="00601AE3"/>
    <w:rsid w:val="00603A40"/>
    <w:rsid w:val="006108DF"/>
    <w:rsid w:val="0061463D"/>
    <w:rsid w:val="00616E2B"/>
    <w:rsid w:val="00630AB5"/>
    <w:rsid w:val="00634261"/>
    <w:rsid w:val="00634DC3"/>
    <w:rsid w:val="00635743"/>
    <w:rsid w:val="006406C2"/>
    <w:rsid w:val="00646B27"/>
    <w:rsid w:val="00647A17"/>
    <w:rsid w:val="00653F65"/>
    <w:rsid w:val="00655015"/>
    <w:rsid w:val="0065648A"/>
    <w:rsid w:val="00660287"/>
    <w:rsid w:val="00661D41"/>
    <w:rsid w:val="00671002"/>
    <w:rsid w:val="00672755"/>
    <w:rsid w:val="00683FAF"/>
    <w:rsid w:val="00693058"/>
    <w:rsid w:val="00696320"/>
    <w:rsid w:val="006A5405"/>
    <w:rsid w:val="006B206B"/>
    <w:rsid w:val="006B3048"/>
    <w:rsid w:val="006B5362"/>
    <w:rsid w:val="006B5E41"/>
    <w:rsid w:val="006B75B2"/>
    <w:rsid w:val="006C02B4"/>
    <w:rsid w:val="006C2554"/>
    <w:rsid w:val="006C30A5"/>
    <w:rsid w:val="006C4E46"/>
    <w:rsid w:val="006E0469"/>
    <w:rsid w:val="006E24D1"/>
    <w:rsid w:val="006E38E1"/>
    <w:rsid w:val="006E614F"/>
    <w:rsid w:val="006F1C75"/>
    <w:rsid w:val="006F20E6"/>
    <w:rsid w:val="006F38C7"/>
    <w:rsid w:val="006F60B0"/>
    <w:rsid w:val="006F66D4"/>
    <w:rsid w:val="00707730"/>
    <w:rsid w:val="00717347"/>
    <w:rsid w:val="007205D5"/>
    <w:rsid w:val="00722D7F"/>
    <w:rsid w:val="007230B6"/>
    <w:rsid w:val="007256EB"/>
    <w:rsid w:val="0072639F"/>
    <w:rsid w:val="007307E9"/>
    <w:rsid w:val="007354E4"/>
    <w:rsid w:val="00740A7D"/>
    <w:rsid w:val="007412B0"/>
    <w:rsid w:val="00742B44"/>
    <w:rsid w:val="00744E62"/>
    <w:rsid w:val="007453F8"/>
    <w:rsid w:val="0074739B"/>
    <w:rsid w:val="00752025"/>
    <w:rsid w:val="00752BDA"/>
    <w:rsid w:val="00754BD6"/>
    <w:rsid w:val="0076661F"/>
    <w:rsid w:val="00766C27"/>
    <w:rsid w:val="00767E81"/>
    <w:rsid w:val="00773C14"/>
    <w:rsid w:val="00774F03"/>
    <w:rsid w:val="00776A90"/>
    <w:rsid w:val="0078365A"/>
    <w:rsid w:val="00786D83"/>
    <w:rsid w:val="007A558B"/>
    <w:rsid w:val="007A637C"/>
    <w:rsid w:val="007B3050"/>
    <w:rsid w:val="007B480E"/>
    <w:rsid w:val="007B5490"/>
    <w:rsid w:val="007B7644"/>
    <w:rsid w:val="007C6CD8"/>
    <w:rsid w:val="007D3960"/>
    <w:rsid w:val="007D6B3F"/>
    <w:rsid w:val="007D7425"/>
    <w:rsid w:val="007E3FC7"/>
    <w:rsid w:val="007F0810"/>
    <w:rsid w:val="007F4BA0"/>
    <w:rsid w:val="007F5A07"/>
    <w:rsid w:val="00805806"/>
    <w:rsid w:val="00806127"/>
    <w:rsid w:val="00807A5B"/>
    <w:rsid w:val="00813FB1"/>
    <w:rsid w:val="00816205"/>
    <w:rsid w:val="00825B04"/>
    <w:rsid w:val="0083078C"/>
    <w:rsid w:val="00832789"/>
    <w:rsid w:val="00835B0F"/>
    <w:rsid w:val="00835CFC"/>
    <w:rsid w:val="008429C6"/>
    <w:rsid w:val="00843D38"/>
    <w:rsid w:val="008456C7"/>
    <w:rsid w:val="0084648D"/>
    <w:rsid w:val="008500F0"/>
    <w:rsid w:val="008548E1"/>
    <w:rsid w:val="00854BAA"/>
    <w:rsid w:val="0086718D"/>
    <w:rsid w:val="00867ADD"/>
    <w:rsid w:val="00867D61"/>
    <w:rsid w:val="008707CC"/>
    <w:rsid w:val="00873451"/>
    <w:rsid w:val="0087372E"/>
    <w:rsid w:val="00882A44"/>
    <w:rsid w:val="00890A81"/>
    <w:rsid w:val="00895A3B"/>
    <w:rsid w:val="008A0AB2"/>
    <w:rsid w:val="008A0E15"/>
    <w:rsid w:val="008A4C33"/>
    <w:rsid w:val="008A6C67"/>
    <w:rsid w:val="008A74B4"/>
    <w:rsid w:val="008B3B75"/>
    <w:rsid w:val="008B4FDC"/>
    <w:rsid w:val="008D66D1"/>
    <w:rsid w:val="008D689C"/>
    <w:rsid w:val="008D7A3A"/>
    <w:rsid w:val="008E4CF8"/>
    <w:rsid w:val="008E61F7"/>
    <w:rsid w:val="008E6600"/>
    <w:rsid w:val="008F29D7"/>
    <w:rsid w:val="008F76DB"/>
    <w:rsid w:val="0090007C"/>
    <w:rsid w:val="00900F31"/>
    <w:rsid w:val="009059AE"/>
    <w:rsid w:val="00910B98"/>
    <w:rsid w:val="00912E00"/>
    <w:rsid w:val="0091498B"/>
    <w:rsid w:val="00923F82"/>
    <w:rsid w:val="00926455"/>
    <w:rsid w:val="00933D76"/>
    <w:rsid w:val="00934454"/>
    <w:rsid w:val="00940ECF"/>
    <w:rsid w:val="00941826"/>
    <w:rsid w:val="00946118"/>
    <w:rsid w:val="00950234"/>
    <w:rsid w:val="00951692"/>
    <w:rsid w:val="00953D8E"/>
    <w:rsid w:val="00953F75"/>
    <w:rsid w:val="009642CE"/>
    <w:rsid w:val="00964B86"/>
    <w:rsid w:val="00964F4F"/>
    <w:rsid w:val="009655BE"/>
    <w:rsid w:val="00971FE7"/>
    <w:rsid w:val="009722EE"/>
    <w:rsid w:val="00972688"/>
    <w:rsid w:val="009730F4"/>
    <w:rsid w:val="00977263"/>
    <w:rsid w:val="009860C2"/>
    <w:rsid w:val="00990461"/>
    <w:rsid w:val="009A06D6"/>
    <w:rsid w:val="009A77B4"/>
    <w:rsid w:val="009B1534"/>
    <w:rsid w:val="009B25FD"/>
    <w:rsid w:val="009B2970"/>
    <w:rsid w:val="009B3D33"/>
    <w:rsid w:val="009B3FB0"/>
    <w:rsid w:val="009B54DC"/>
    <w:rsid w:val="009B5BB3"/>
    <w:rsid w:val="009C5525"/>
    <w:rsid w:val="009D4B25"/>
    <w:rsid w:val="009D5718"/>
    <w:rsid w:val="009F56E4"/>
    <w:rsid w:val="00A00C18"/>
    <w:rsid w:val="00A011B1"/>
    <w:rsid w:val="00A05492"/>
    <w:rsid w:val="00A1454F"/>
    <w:rsid w:val="00A17B70"/>
    <w:rsid w:val="00A2708D"/>
    <w:rsid w:val="00A304B7"/>
    <w:rsid w:val="00A332CC"/>
    <w:rsid w:val="00A335C7"/>
    <w:rsid w:val="00A34A25"/>
    <w:rsid w:val="00A47EA7"/>
    <w:rsid w:val="00A53452"/>
    <w:rsid w:val="00A538CC"/>
    <w:rsid w:val="00A55971"/>
    <w:rsid w:val="00A62522"/>
    <w:rsid w:val="00A71770"/>
    <w:rsid w:val="00A76EF7"/>
    <w:rsid w:val="00A7784D"/>
    <w:rsid w:val="00A77E7E"/>
    <w:rsid w:val="00A828EB"/>
    <w:rsid w:val="00A841DE"/>
    <w:rsid w:val="00A8721E"/>
    <w:rsid w:val="00A962FC"/>
    <w:rsid w:val="00AA52D8"/>
    <w:rsid w:val="00AB27CF"/>
    <w:rsid w:val="00AC108D"/>
    <w:rsid w:val="00AC1FCD"/>
    <w:rsid w:val="00AC59B8"/>
    <w:rsid w:val="00AC6115"/>
    <w:rsid w:val="00AC75C6"/>
    <w:rsid w:val="00AE0D2D"/>
    <w:rsid w:val="00AE7B19"/>
    <w:rsid w:val="00AF16D9"/>
    <w:rsid w:val="00AF2066"/>
    <w:rsid w:val="00AF4239"/>
    <w:rsid w:val="00AF6BA9"/>
    <w:rsid w:val="00B07D78"/>
    <w:rsid w:val="00B14CE8"/>
    <w:rsid w:val="00B17D73"/>
    <w:rsid w:val="00B22248"/>
    <w:rsid w:val="00B23333"/>
    <w:rsid w:val="00B25C24"/>
    <w:rsid w:val="00B30470"/>
    <w:rsid w:val="00B34621"/>
    <w:rsid w:val="00B349F9"/>
    <w:rsid w:val="00B36B5A"/>
    <w:rsid w:val="00B5062E"/>
    <w:rsid w:val="00B50798"/>
    <w:rsid w:val="00B50EA8"/>
    <w:rsid w:val="00B55C22"/>
    <w:rsid w:val="00B60123"/>
    <w:rsid w:val="00B6178B"/>
    <w:rsid w:val="00B75762"/>
    <w:rsid w:val="00B8526D"/>
    <w:rsid w:val="00B856DA"/>
    <w:rsid w:val="00B862B6"/>
    <w:rsid w:val="00B90196"/>
    <w:rsid w:val="00B972D9"/>
    <w:rsid w:val="00B9749B"/>
    <w:rsid w:val="00BA43E3"/>
    <w:rsid w:val="00BB21FD"/>
    <w:rsid w:val="00BB2637"/>
    <w:rsid w:val="00BB6C52"/>
    <w:rsid w:val="00BC19C7"/>
    <w:rsid w:val="00BC575D"/>
    <w:rsid w:val="00BC5BA7"/>
    <w:rsid w:val="00BD24FF"/>
    <w:rsid w:val="00BD264E"/>
    <w:rsid w:val="00BD4867"/>
    <w:rsid w:val="00BD611C"/>
    <w:rsid w:val="00BE0AAC"/>
    <w:rsid w:val="00BE3B63"/>
    <w:rsid w:val="00BF21B9"/>
    <w:rsid w:val="00BF5F00"/>
    <w:rsid w:val="00BF7205"/>
    <w:rsid w:val="00BF7FC7"/>
    <w:rsid w:val="00C002DA"/>
    <w:rsid w:val="00C01F52"/>
    <w:rsid w:val="00C04832"/>
    <w:rsid w:val="00C1017A"/>
    <w:rsid w:val="00C14E17"/>
    <w:rsid w:val="00C15D9F"/>
    <w:rsid w:val="00C21521"/>
    <w:rsid w:val="00C34E87"/>
    <w:rsid w:val="00C41CE9"/>
    <w:rsid w:val="00C42214"/>
    <w:rsid w:val="00C440FF"/>
    <w:rsid w:val="00C5044C"/>
    <w:rsid w:val="00C50D73"/>
    <w:rsid w:val="00C55536"/>
    <w:rsid w:val="00C566D3"/>
    <w:rsid w:val="00C63C92"/>
    <w:rsid w:val="00C77FD0"/>
    <w:rsid w:val="00C8343F"/>
    <w:rsid w:val="00C84F52"/>
    <w:rsid w:val="00C9654E"/>
    <w:rsid w:val="00C97E7A"/>
    <w:rsid w:val="00CA6E23"/>
    <w:rsid w:val="00CA74F7"/>
    <w:rsid w:val="00CB0A08"/>
    <w:rsid w:val="00CB24D6"/>
    <w:rsid w:val="00CB2520"/>
    <w:rsid w:val="00CB2C4C"/>
    <w:rsid w:val="00CC48CC"/>
    <w:rsid w:val="00CC6B93"/>
    <w:rsid w:val="00CC7825"/>
    <w:rsid w:val="00CD039F"/>
    <w:rsid w:val="00CD6F69"/>
    <w:rsid w:val="00CD7B81"/>
    <w:rsid w:val="00CE278F"/>
    <w:rsid w:val="00CE3428"/>
    <w:rsid w:val="00CE3B98"/>
    <w:rsid w:val="00CE55E9"/>
    <w:rsid w:val="00CF30ED"/>
    <w:rsid w:val="00CF673B"/>
    <w:rsid w:val="00D0392B"/>
    <w:rsid w:val="00D04ED6"/>
    <w:rsid w:val="00D11745"/>
    <w:rsid w:val="00D11C3D"/>
    <w:rsid w:val="00D15CFC"/>
    <w:rsid w:val="00D16E4A"/>
    <w:rsid w:val="00D17B6D"/>
    <w:rsid w:val="00D27251"/>
    <w:rsid w:val="00D31654"/>
    <w:rsid w:val="00D37445"/>
    <w:rsid w:val="00D43635"/>
    <w:rsid w:val="00D44F41"/>
    <w:rsid w:val="00D468ED"/>
    <w:rsid w:val="00D47D75"/>
    <w:rsid w:val="00D62810"/>
    <w:rsid w:val="00D67191"/>
    <w:rsid w:val="00D6754B"/>
    <w:rsid w:val="00D70086"/>
    <w:rsid w:val="00D71237"/>
    <w:rsid w:val="00D82B35"/>
    <w:rsid w:val="00D84D8E"/>
    <w:rsid w:val="00DA4F73"/>
    <w:rsid w:val="00DA5DEA"/>
    <w:rsid w:val="00DA7629"/>
    <w:rsid w:val="00DB1D57"/>
    <w:rsid w:val="00DC3305"/>
    <w:rsid w:val="00DC44E0"/>
    <w:rsid w:val="00DC7E63"/>
    <w:rsid w:val="00DE4220"/>
    <w:rsid w:val="00DE73D7"/>
    <w:rsid w:val="00DF069F"/>
    <w:rsid w:val="00DF06B3"/>
    <w:rsid w:val="00DF0E3F"/>
    <w:rsid w:val="00DF70FF"/>
    <w:rsid w:val="00DF76AC"/>
    <w:rsid w:val="00E03ED6"/>
    <w:rsid w:val="00E11784"/>
    <w:rsid w:val="00E11D60"/>
    <w:rsid w:val="00E21243"/>
    <w:rsid w:val="00E42C3F"/>
    <w:rsid w:val="00E572A4"/>
    <w:rsid w:val="00E64C14"/>
    <w:rsid w:val="00E67AEF"/>
    <w:rsid w:val="00E704EC"/>
    <w:rsid w:val="00E72866"/>
    <w:rsid w:val="00E769C9"/>
    <w:rsid w:val="00E86283"/>
    <w:rsid w:val="00EA09EA"/>
    <w:rsid w:val="00EA25EF"/>
    <w:rsid w:val="00EA26D5"/>
    <w:rsid w:val="00EA4D62"/>
    <w:rsid w:val="00EA668F"/>
    <w:rsid w:val="00EA6B59"/>
    <w:rsid w:val="00EB48AD"/>
    <w:rsid w:val="00EC29F2"/>
    <w:rsid w:val="00EC756F"/>
    <w:rsid w:val="00ED0EDC"/>
    <w:rsid w:val="00ED1729"/>
    <w:rsid w:val="00EE04AC"/>
    <w:rsid w:val="00EE0A4A"/>
    <w:rsid w:val="00EF3EEA"/>
    <w:rsid w:val="00F05B4D"/>
    <w:rsid w:val="00F05D70"/>
    <w:rsid w:val="00F15A29"/>
    <w:rsid w:val="00F166AF"/>
    <w:rsid w:val="00F173D3"/>
    <w:rsid w:val="00F21BB5"/>
    <w:rsid w:val="00F2440B"/>
    <w:rsid w:val="00F26B53"/>
    <w:rsid w:val="00F34057"/>
    <w:rsid w:val="00F40B44"/>
    <w:rsid w:val="00F4121E"/>
    <w:rsid w:val="00F44082"/>
    <w:rsid w:val="00F44712"/>
    <w:rsid w:val="00F47059"/>
    <w:rsid w:val="00F53F6E"/>
    <w:rsid w:val="00F55515"/>
    <w:rsid w:val="00F5572F"/>
    <w:rsid w:val="00F60E4F"/>
    <w:rsid w:val="00F661E2"/>
    <w:rsid w:val="00F66E18"/>
    <w:rsid w:val="00F6789A"/>
    <w:rsid w:val="00F67D3E"/>
    <w:rsid w:val="00F70483"/>
    <w:rsid w:val="00F82AD2"/>
    <w:rsid w:val="00F83F62"/>
    <w:rsid w:val="00F84026"/>
    <w:rsid w:val="00F8426D"/>
    <w:rsid w:val="00F90554"/>
    <w:rsid w:val="00F95DD5"/>
    <w:rsid w:val="00FA075A"/>
    <w:rsid w:val="00FA3DF8"/>
    <w:rsid w:val="00FA5CB5"/>
    <w:rsid w:val="00FA7DF9"/>
    <w:rsid w:val="00FB6386"/>
    <w:rsid w:val="00FC05C5"/>
    <w:rsid w:val="00FC424E"/>
    <w:rsid w:val="00FC4CD3"/>
    <w:rsid w:val="00FD3A16"/>
    <w:rsid w:val="00FD437C"/>
    <w:rsid w:val="00FE4C9C"/>
    <w:rsid w:val="00FE4FF4"/>
    <w:rsid w:val="00FF582F"/>
    <w:rsid w:val="00FF65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3B"/>
    <w:rPr>
      <w:rFonts w:ascii="Arial" w:hAnsi="Arial"/>
      <w:lang w:val="en-US" w:eastAsia="en-US"/>
    </w:rPr>
  </w:style>
  <w:style w:type="paragraph" w:styleId="Heading1">
    <w:name w:val="heading 1"/>
    <w:basedOn w:val="Normal"/>
    <w:next w:val="Normal"/>
    <w:qFormat/>
    <w:rsid w:val="00CF673B"/>
    <w:pPr>
      <w:keepNext/>
      <w:outlineLvl w:val="0"/>
    </w:pPr>
    <w:rPr>
      <w:b/>
    </w:rPr>
  </w:style>
  <w:style w:type="paragraph" w:styleId="Heading2">
    <w:name w:val="heading 2"/>
    <w:basedOn w:val="Normal"/>
    <w:next w:val="Normal"/>
    <w:qFormat/>
    <w:rsid w:val="00CF673B"/>
    <w:pPr>
      <w:keepNext/>
      <w:outlineLvl w:val="1"/>
    </w:pPr>
    <w:rPr>
      <w:b/>
      <w:sz w:val="24"/>
    </w:rPr>
  </w:style>
  <w:style w:type="paragraph" w:styleId="Heading3">
    <w:name w:val="heading 3"/>
    <w:basedOn w:val="Normal"/>
    <w:next w:val="Normal"/>
    <w:qFormat/>
    <w:rsid w:val="00CF673B"/>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CF673B"/>
    <w:rPr>
      <w:sz w:val="16"/>
    </w:rPr>
  </w:style>
  <w:style w:type="paragraph" w:styleId="CommentText">
    <w:name w:val="annotation text"/>
    <w:basedOn w:val="Normal"/>
    <w:semiHidden/>
    <w:rsid w:val="00CF673B"/>
  </w:style>
  <w:style w:type="paragraph" w:styleId="Footer">
    <w:name w:val="footer"/>
    <w:basedOn w:val="Normal"/>
    <w:rsid w:val="00CF673B"/>
    <w:pPr>
      <w:tabs>
        <w:tab w:val="center" w:pos="4320"/>
        <w:tab w:val="right" w:pos="8640"/>
      </w:tabs>
    </w:pPr>
  </w:style>
  <w:style w:type="character" w:styleId="PageNumber">
    <w:name w:val="page number"/>
    <w:basedOn w:val="DefaultParagraphFont"/>
    <w:rsid w:val="00CF673B"/>
  </w:style>
  <w:style w:type="paragraph" w:styleId="Header">
    <w:name w:val="header"/>
    <w:basedOn w:val="Normal"/>
    <w:rsid w:val="00CF673B"/>
    <w:pPr>
      <w:tabs>
        <w:tab w:val="center" w:pos="4320"/>
        <w:tab w:val="right" w:pos="8640"/>
      </w:tabs>
    </w:pPr>
  </w:style>
  <w:style w:type="paragraph" w:styleId="BalloonText">
    <w:name w:val="Balloon Text"/>
    <w:basedOn w:val="Normal"/>
    <w:semiHidden/>
    <w:rsid w:val="00CF673B"/>
    <w:rPr>
      <w:rFonts w:ascii="Tahoma" w:hAnsi="Tahoma" w:cs="Tahoma"/>
      <w:sz w:val="16"/>
      <w:szCs w:val="16"/>
    </w:rPr>
  </w:style>
  <w:style w:type="character" w:styleId="Hyperlink">
    <w:name w:val="Hyperlink"/>
    <w:basedOn w:val="DefaultParagraphFont"/>
    <w:rsid w:val="00FF582F"/>
    <w:rPr>
      <w:color w:val="0000FF"/>
      <w:u w:val="single"/>
    </w:rPr>
  </w:style>
  <w:style w:type="character" w:styleId="FollowedHyperlink">
    <w:name w:val="FollowedHyperlink"/>
    <w:basedOn w:val="DefaultParagraphFont"/>
    <w:rsid w:val="0035119F"/>
    <w:rPr>
      <w:color w:val="800080"/>
      <w:u w:val="single"/>
    </w:rPr>
  </w:style>
  <w:style w:type="character" w:styleId="Strong">
    <w:name w:val="Strong"/>
    <w:basedOn w:val="DefaultParagraphFont"/>
    <w:uiPriority w:val="22"/>
    <w:qFormat/>
    <w:rsid w:val="00923F82"/>
    <w:rPr>
      <w:b/>
      <w:bCs/>
    </w:rPr>
  </w:style>
</w:styles>
</file>

<file path=word/webSettings.xml><?xml version="1.0" encoding="utf-8"?>
<w:webSettings xmlns:r="http://schemas.openxmlformats.org/officeDocument/2006/relationships" xmlns:w="http://schemas.openxmlformats.org/wordprocessingml/2006/main">
  <w:divs>
    <w:div w:id="481503249">
      <w:bodyDiv w:val="1"/>
      <w:marLeft w:val="0"/>
      <w:marRight w:val="0"/>
      <w:marTop w:val="0"/>
      <w:marBottom w:val="0"/>
      <w:divBdr>
        <w:top w:val="none" w:sz="0" w:space="0" w:color="auto"/>
        <w:left w:val="none" w:sz="0" w:space="0" w:color="auto"/>
        <w:bottom w:val="none" w:sz="0" w:space="0" w:color="auto"/>
        <w:right w:val="none" w:sz="0" w:space="0" w:color="auto"/>
      </w:divBdr>
    </w:div>
    <w:div w:id="866334459">
      <w:bodyDiv w:val="1"/>
      <w:marLeft w:val="0"/>
      <w:marRight w:val="0"/>
      <w:marTop w:val="0"/>
      <w:marBottom w:val="0"/>
      <w:divBdr>
        <w:top w:val="none" w:sz="0" w:space="0" w:color="auto"/>
        <w:left w:val="none" w:sz="0" w:space="0" w:color="auto"/>
        <w:bottom w:val="none" w:sz="0" w:space="0" w:color="auto"/>
        <w:right w:val="none" w:sz="0" w:space="0" w:color="auto"/>
      </w:divBdr>
    </w:div>
    <w:div w:id="921528458">
      <w:bodyDiv w:val="1"/>
      <w:marLeft w:val="0"/>
      <w:marRight w:val="0"/>
      <w:marTop w:val="0"/>
      <w:marBottom w:val="0"/>
      <w:divBdr>
        <w:top w:val="none" w:sz="0" w:space="0" w:color="auto"/>
        <w:left w:val="none" w:sz="0" w:space="0" w:color="auto"/>
        <w:bottom w:val="none" w:sz="0" w:space="0" w:color="auto"/>
        <w:right w:val="none" w:sz="0" w:space="0" w:color="auto"/>
      </w:divBdr>
    </w:div>
    <w:div w:id="1037852860">
      <w:bodyDiv w:val="1"/>
      <w:marLeft w:val="0"/>
      <w:marRight w:val="0"/>
      <w:marTop w:val="0"/>
      <w:marBottom w:val="0"/>
      <w:divBdr>
        <w:top w:val="none" w:sz="0" w:space="0" w:color="auto"/>
        <w:left w:val="none" w:sz="0" w:space="0" w:color="auto"/>
        <w:bottom w:val="none" w:sz="0" w:space="0" w:color="auto"/>
        <w:right w:val="none" w:sz="0" w:space="0" w:color="auto"/>
      </w:divBdr>
    </w:div>
    <w:div w:id="1118766327">
      <w:bodyDiv w:val="1"/>
      <w:marLeft w:val="0"/>
      <w:marRight w:val="0"/>
      <w:marTop w:val="0"/>
      <w:marBottom w:val="0"/>
      <w:divBdr>
        <w:top w:val="none" w:sz="0" w:space="0" w:color="auto"/>
        <w:left w:val="none" w:sz="0" w:space="0" w:color="auto"/>
        <w:bottom w:val="none" w:sz="0" w:space="0" w:color="auto"/>
        <w:right w:val="none" w:sz="0" w:space="0" w:color="auto"/>
      </w:divBdr>
    </w:div>
    <w:div w:id="1318068867">
      <w:bodyDiv w:val="1"/>
      <w:marLeft w:val="0"/>
      <w:marRight w:val="0"/>
      <w:marTop w:val="0"/>
      <w:marBottom w:val="0"/>
      <w:divBdr>
        <w:top w:val="none" w:sz="0" w:space="0" w:color="auto"/>
        <w:left w:val="none" w:sz="0" w:space="0" w:color="auto"/>
        <w:bottom w:val="none" w:sz="0" w:space="0" w:color="auto"/>
        <w:right w:val="none" w:sz="0" w:space="0" w:color="auto"/>
      </w:divBdr>
    </w:div>
    <w:div w:id="1379085001">
      <w:bodyDiv w:val="1"/>
      <w:marLeft w:val="0"/>
      <w:marRight w:val="0"/>
      <w:marTop w:val="0"/>
      <w:marBottom w:val="0"/>
      <w:divBdr>
        <w:top w:val="none" w:sz="0" w:space="0" w:color="auto"/>
        <w:left w:val="none" w:sz="0" w:space="0" w:color="auto"/>
        <w:bottom w:val="none" w:sz="0" w:space="0" w:color="auto"/>
        <w:right w:val="none" w:sz="0" w:space="0" w:color="auto"/>
      </w:divBdr>
    </w:div>
    <w:div w:id="1515997724">
      <w:bodyDiv w:val="1"/>
      <w:marLeft w:val="0"/>
      <w:marRight w:val="0"/>
      <w:marTop w:val="0"/>
      <w:marBottom w:val="0"/>
      <w:divBdr>
        <w:top w:val="none" w:sz="0" w:space="0" w:color="auto"/>
        <w:left w:val="none" w:sz="0" w:space="0" w:color="auto"/>
        <w:bottom w:val="none" w:sz="0" w:space="0" w:color="auto"/>
        <w:right w:val="none" w:sz="0" w:space="0" w:color="auto"/>
      </w:divBdr>
    </w:div>
    <w:div w:id="211540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llesleyinstitute.com/publication/public-health-is-a-key-driver-for-health-equity/" TargetMode="External"/><Relationship Id="rId3" Type="http://schemas.openxmlformats.org/officeDocument/2006/relationships/settings" Target="settings.xml"/><Relationship Id="rId7" Type="http://schemas.openxmlformats.org/officeDocument/2006/relationships/hyperlink" Target="http://www.nccd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Management\Agendas\2008\AMC%20Agend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AMC Agenda Template.dot</Template>
  <TotalTime>3</TotalTime>
  <Pages>3</Pages>
  <Words>666</Words>
  <Characters>4137</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Simcoe County District Health Unit</vt:lpstr>
      <vt:lpstr>Core Indicators Work Group:  Social Determinants of Health Subgroup	</vt:lpstr>
    </vt:vector>
  </TitlesOfParts>
  <Company>.</Company>
  <LinksUpToDate>false</LinksUpToDate>
  <CharactersWithSpaces>4794</CharactersWithSpaces>
  <SharedDoc>false</SharedDoc>
  <HLinks>
    <vt:vector size="18" baseType="variant">
      <vt:variant>
        <vt:i4>2031709</vt:i4>
      </vt:variant>
      <vt:variant>
        <vt:i4>6</vt:i4>
      </vt:variant>
      <vt:variant>
        <vt:i4>0</vt:i4>
      </vt:variant>
      <vt:variant>
        <vt:i4>5</vt:i4>
      </vt:variant>
      <vt:variant>
        <vt:lpwstr>http://www.apheo.ca/index.php?pid=68</vt:lpwstr>
      </vt:variant>
      <vt:variant>
        <vt:lpwstr/>
      </vt:variant>
      <vt:variant>
        <vt:i4>2228272</vt:i4>
      </vt:variant>
      <vt:variant>
        <vt:i4>3</vt:i4>
      </vt:variant>
      <vt:variant>
        <vt:i4>0</vt:i4>
      </vt:variant>
      <vt:variant>
        <vt:i4>5</vt:i4>
      </vt:variant>
      <vt:variant>
        <vt:lpwstr>http://www.statcan.gc.ca/pub/89-642-x/2010001/article/section1-eng.htm</vt:lpwstr>
      </vt:variant>
      <vt:variant>
        <vt:lpwstr/>
      </vt:variant>
      <vt:variant>
        <vt:i4>7077947</vt:i4>
      </vt:variant>
      <vt:variant>
        <vt:i4>0</vt:i4>
      </vt:variant>
      <vt:variant>
        <vt:i4>0</vt:i4>
      </vt:variant>
      <vt:variant>
        <vt:i4>5</vt:i4>
      </vt:variant>
      <vt:variant>
        <vt:lpwstr>http://www.ofa.gov.on.ca/en/franco-definition.html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Simcoe County District Health Unit</dc:title>
  <dc:subject/>
  <dc:creator>rbarker</dc:creator>
  <cp:keywords/>
  <cp:lastModifiedBy>mcdermaica</cp:lastModifiedBy>
  <cp:revision>4</cp:revision>
  <cp:lastPrinted>2009-02-24T16:48:00Z</cp:lastPrinted>
  <dcterms:created xsi:type="dcterms:W3CDTF">2012-05-30T19:14:00Z</dcterms:created>
  <dcterms:modified xsi:type="dcterms:W3CDTF">2012-05-30T19:16:00Z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-281065534</vt:i4>
  </property>
  <property fmtid="{D5CDD505-2E9C-101B-9397-08002B2CF9AE}" pid="3" name="_NewReviewCycle">
    <vt:lpwstr/>
  </property>
</Properties>
</file>