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6" w:rsidRPr="00F233B6" w:rsidRDefault="009A06D6" w:rsidP="009A06D6">
      <w:pPr>
        <w:spacing w:before="60" w:after="60"/>
        <w:rPr>
          <w:b/>
          <w:color w:val="0000FF"/>
          <w:sz w:val="28"/>
        </w:rPr>
      </w:pPr>
      <w:r>
        <w:rPr>
          <w:b/>
          <w:color w:val="0000FF"/>
          <w:sz w:val="28"/>
        </w:rPr>
        <w:t xml:space="preserve">Core Indicators </w:t>
      </w:r>
      <w:r w:rsidR="00E4328B">
        <w:rPr>
          <w:b/>
          <w:color w:val="0000FF"/>
          <w:sz w:val="28"/>
        </w:rPr>
        <w:t>for Public Health i</w:t>
      </w:r>
      <w:r>
        <w:rPr>
          <w:b/>
          <w:color w:val="0000FF"/>
          <w:sz w:val="28"/>
        </w:rPr>
        <w:t>n Ontario</w:t>
      </w:r>
    </w:p>
    <w:p w:rsidR="0051042A" w:rsidRPr="00F5636C" w:rsidRDefault="0051042A" w:rsidP="0051042A">
      <w:pPr>
        <w:pStyle w:val="Heading1"/>
        <w:spacing w:before="60" w:after="60"/>
        <w:rPr>
          <w:sz w:val="22"/>
          <w:szCs w:val="22"/>
        </w:rPr>
      </w:pPr>
      <w:r>
        <w:rPr>
          <w:sz w:val="22"/>
          <w:szCs w:val="22"/>
        </w:rPr>
        <w:t xml:space="preserve">Core Indicators Work Group </w:t>
      </w:r>
    </w:p>
    <w:p w:rsidR="00D44F41" w:rsidRDefault="00D44F41" w:rsidP="00D44F41">
      <w:pPr>
        <w:rPr>
          <w:b/>
          <w:color w:val="FF0000"/>
          <w:sz w:val="16"/>
          <w:szCs w:val="16"/>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190"/>
      </w:tblGrid>
      <w:tr w:rsidR="002556CB"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spacing w:before="60" w:after="60"/>
              <w:rPr>
                <w:b/>
                <w:sz w:val="22"/>
                <w:szCs w:val="22"/>
              </w:rPr>
            </w:pPr>
            <w:r>
              <w:rPr>
                <w:b/>
                <w:sz w:val="22"/>
                <w:szCs w:val="22"/>
              </w:rPr>
              <w:t>Date:</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Default="002556CB" w:rsidP="002556CB">
            <w:pPr>
              <w:spacing w:before="60" w:after="60"/>
              <w:rPr>
                <w:sz w:val="22"/>
                <w:szCs w:val="22"/>
              </w:rPr>
            </w:pPr>
            <w:r>
              <w:rPr>
                <w:sz w:val="22"/>
                <w:szCs w:val="22"/>
              </w:rPr>
              <w:t>June 24, 2014</w:t>
            </w:r>
          </w:p>
        </w:tc>
      </w:tr>
      <w:tr w:rsidR="002556CB"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spacing w:before="60" w:after="60"/>
              <w:rPr>
                <w:b/>
                <w:sz w:val="22"/>
                <w:szCs w:val="22"/>
              </w:rPr>
            </w:pPr>
            <w:r>
              <w:rPr>
                <w:b/>
                <w:sz w:val="22"/>
                <w:szCs w:val="22"/>
              </w:rPr>
              <w:t>Location:</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pStyle w:val="CommentText"/>
              <w:spacing w:before="60" w:after="60"/>
              <w:rPr>
                <w:color w:val="000000"/>
                <w:sz w:val="22"/>
                <w:szCs w:val="22"/>
              </w:rPr>
            </w:pPr>
            <w:r>
              <w:rPr>
                <w:sz w:val="22"/>
                <w:szCs w:val="22"/>
              </w:rPr>
              <w:t>Teleconference</w:t>
            </w:r>
          </w:p>
        </w:tc>
      </w:tr>
      <w:tr w:rsidR="002556CB"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spacing w:before="60" w:after="60"/>
              <w:rPr>
                <w:b/>
                <w:sz w:val="22"/>
                <w:szCs w:val="22"/>
              </w:rPr>
            </w:pPr>
            <w:r>
              <w:rPr>
                <w:b/>
                <w:sz w:val="22"/>
                <w:szCs w:val="22"/>
              </w:rPr>
              <w:t xml:space="preserve">Attendees: </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Default="002556CB" w:rsidP="008D2FDD">
            <w:pPr>
              <w:pStyle w:val="CommentText"/>
              <w:rPr>
                <w:sz w:val="22"/>
                <w:szCs w:val="22"/>
              </w:rPr>
            </w:pPr>
            <w:r>
              <w:rPr>
                <w:sz w:val="22"/>
                <w:szCs w:val="22"/>
              </w:rPr>
              <w:t>Suzanne Fegan, Natalie Greenidge, Brenda Guarda, Virginia McFarland</w:t>
            </w:r>
            <w:r w:rsidR="008D2FDD">
              <w:rPr>
                <w:sz w:val="22"/>
                <w:szCs w:val="22"/>
              </w:rPr>
              <w:t>, Sherri Deamond, Ahalya Mahendra</w:t>
            </w:r>
          </w:p>
        </w:tc>
      </w:tr>
      <w:tr w:rsidR="002556CB"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spacing w:before="60" w:after="60"/>
              <w:rPr>
                <w:b/>
                <w:sz w:val="22"/>
                <w:szCs w:val="22"/>
              </w:rPr>
            </w:pPr>
            <w:r>
              <w:rPr>
                <w:b/>
                <w:sz w:val="22"/>
                <w:szCs w:val="22"/>
              </w:rPr>
              <w:t>Regrets:</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Default="008D2FDD" w:rsidP="008D2FDD">
            <w:pPr>
              <w:pStyle w:val="CommentText"/>
              <w:spacing w:before="60" w:after="60"/>
              <w:rPr>
                <w:sz w:val="22"/>
                <w:szCs w:val="22"/>
                <w:highlight w:val="yellow"/>
              </w:rPr>
            </w:pPr>
            <w:r>
              <w:rPr>
                <w:sz w:val="22"/>
                <w:szCs w:val="22"/>
              </w:rPr>
              <w:t>Shanna Hoetmer</w:t>
            </w:r>
            <w:r w:rsidR="002556CB">
              <w:rPr>
                <w:sz w:val="22"/>
                <w:szCs w:val="22"/>
              </w:rPr>
              <w:t>, Lawson Greenberg, Katherine Russell (on leave)</w:t>
            </w:r>
            <w:r>
              <w:rPr>
                <w:sz w:val="22"/>
                <w:szCs w:val="22"/>
              </w:rPr>
              <w:t>, Mary-Anne Pietrusiak, Sue Bondy</w:t>
            </w:r>
          </w:p>
        </w:tc>
      </w:tr>
      <w:tr w:rsidR="002556CB"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spacing w:before="60" w:after="60"/>
              <w:rPr>
                <w:b/>
                <w:sz w:val="22"/>
                <w:szCs w:val="22"/>
              </w:rPr>
            </w:pPr>
            <w:r>
              <w:rPr>
                <w:b/>
                <w:sz w:val="22"/>
                <w:szCs w:val="22"/>
              </w:rPr>
              <w:t>Chair:</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pStyle w:val="CommentText"/>
              <w:spacing w:before="60" w:after="60"/>
              <w:rPr>
                <w:sz w:val="22"/>
                <w:szCs w:val="22"/>
              </w:rPr>
            </w:pPr>
            <w:r>
              <w:rPr>
                <w:sz w:val="22"/>
                <w:szCs w:val="22"/>
              </w:rPr>
              <w:t>Suzanne Fegan</w:t>
            </w:r>
          </w:p>
        </w:tc>
      </w:tr>
      <w:tr w:rsidR="002556CB"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Default="002556CB">
            <w:pPr>
              <w:spacing w:before="60" w:after="60"/>
              <w:rPr>
                <w:b/>
                <w:sz w:val="22"/>
                <w:szCs w:val="22"/>
              </w:rPr>
            </w:pPr>
            <w:r>
              <w:rPr>
                <w:b/>
                <w:sz w:val="22"/>
                <w:szCs w:val="22"/>
              </w:rPr>
              <w:t>Recorder:</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Default="008D2FDD">
            <w:pPr>
              <w:pStyle w:val="CommentText"/>
              <w:spacing w:before="60" w:after="60"/>
              <w:rPr>
                <w:sz w:val="22"/>
                <w:szCs w:val="22"/>
              </w:rPr>
            </w:pPr>
            <w:r>
              <w:rPr>
                <w:sz w:val="22"/>
                <w:szCs w:val="22"/>
              </w:rPr>
              <w:t>Brenda Guarda</w:t>
            </w:r>
          </w:p>
        </w:tc>
      </w:tr>
    </w:tbl>
    <w:p w:rsidR="002556CB" w:rsidRPr="00CD02D1" w:rsidRDefault="002556CB" w:rsidP="00D44F41">
      <w:pPr>
        <w:rPr>
          <w:b/>
          <w:color w:val="FF0000"/>
          <w:sz w:val="16"/>
          <w:szCs w:val="16"/>
        </w:rPr>
      </w:pPr>
    </w:p>
    <w:p w:rsidR="00744E62" w:rsidRPr="00040CBE" w:rsidRDefault="008D2FDD" w:rsidP="00081866">
      <w:pPr>
        <w:spacing w:before="120"/>
        <w:rPr>
          <w:b/>
          <w:sz w:val="28"/>
          <w:szCs w:val="28"/>
        </w:rPr>
      </w:pPr>
      <w:r>
        <w:rPr>
          <w:b/>
          <w:sz w:val="28"/>
          <w:szCs w:val="28"/>
        </w:rPr>
        <w:t xml:space="preserve">Draft </w:t>
      </w:r>
      <w:r w:rsidR="00521F05">
        <w:rPr>
          <w:b/>
          <w:sz w:val="28"/>
          <w:szCs w:val="28"/>
        </w:rPr>
        <w:t>Minutes</w:t>
      </w:r>
    </w:p>
    <w:tbl>
      <w:tblPr>
        <w:tblW w:w="9413" w:type="dxa"/>
        <w:jc w:val="center"/>
        <w:tblInd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3"/>
        <w:gridCol w:w="6184"/>
        <w:gridCol w:w="2006"/>
      </w:tblGrid>
      <w:tr w:rsidR="003817BE" w:rsidTr="008D2FDD">
        <w:trPr>
          <w:jc w:val="center"/>
        </w:trPr>
        <w:tc>
          <w:tcPr>
            <w:tcW w:w="1223" w:type="dxa"/>
            <w:tcBorders>
              <w:bottom w:val="single" w:sz="18" w:space="0" w:color="auto"/>
            </w:tcBorders>
            <w:vAlign w:val="center"/>
          </w:tcPr>
          <w:p w:rsidR="003817BE" w:rsidRDefault="003817BE">
            <w:pPr>
              <w:rPr>
                <w:b/>
                <w:sz w:val="24"/>
              </w:rPr>
            </w:pPr>
            <w:r>
              <w:rPr>
                <w:b/>
                <w:sz w:val="24"/>
              </w:rPr>
              <w:t xml:space="preserve">No. </w:t>
            </w:r>
          </w:p>
        </w:tc>
        <w:tc>
          <w:tcPr>
            <w:tcW w:w="6184" w:type="dxa"/>
            <w:tcBorders>
              <w:bottom w:val="single" w:sz="18" w:space="0" w:color="auto"/>
            </w:tcBorders>
            <w:vAlign w:val="center"/>
          </w:tcPr>
          <w:p w:rsidR="003817BE" w:rsidRPr="00AF6BA9" w:rsidRDefault="003817BE">
            <w:pPr>
              <w:pStyle w:val="Heading2"/>
            </w:pPr>
            <w:r w:rsidRPr="00AF6BA9">
              <w:t>Item</w:t>
            </w:r>
          </w:p>
        </w:tc>
        <w:tc>
          <w:tcPr>
            <w:tcW w:w="2006" w:type="dxa"/>
            <w:tcBorders>
              <w:bottom w:val="single" w:sz="18" w:space="0" w:color="auto"/>
            </w:tcBorders>
            <w:vAlign w:val="center"/>
          </w:tcPr>
          <w:p w:rsidR="003817BE" w:rsidRPr="00813FB1" w:rsidRDefault="003817BE" w:rsidP="00F5572F">
            <w:pPr>
              <w:spacing w:before="60" w:after="60"/>
              <w:jc w:val="center"/>
              <w:rPr>
                <w:b/>
              </w:rPr>
            </w:pPr>
            <w:r>
              <w:rPr>
                <w:b/>
              </w:rPr>
              <w:t>Action</w:t>
            </w:r>
          </w:p>
        </w:tc>
      </w:tr>
      <w:tr w:rsidR="003817BE" w:rsidRPr="00623AE6" w:rsidTr="008D2FDD">
        <w:trPr>
          <w:jc w:val="center"/>
        </w:trPr>
        <w:tc>
          <w:tcPr>
            <w:tcW w:w="1223" w:type="dxa"/>
            <w:tcBorders>
              <w:top w:val="nil"/>
            </w:tcBorders>
          </w:tcPr>
          <w:p w:rsidR="003817BE" w:rsidRPr="00623AE6" w:rsidRDefault="003817BE">
            <w:pPr>
              <w:rPr>
                <w:rFonts w:cs="Arial"/>
                <w:b/>
                <w:sz w:val="22"/>
                <w:szCs w:val="22"/>
              </w:rPr>
            </w:pPr>
            <w:r w:rsidRPr="00623AE6">
              <w:rPr>
                <w:rFonts w:cs="Arial"/>
                <w:b/>
                <w:sz w:val="22"/>
                <w:szCs w:val="22"/>
              </w:rPr>
              <w:t>1.0</w:t>
            </w:r>
          </w:p>
        </w:tc>
        <w:tc>
          <w:tcPr>
            <w:tcW w:w="6184" w:type="dxa"/>
            <w:tcBorders>
              <w:top w:val="nil"/>
            </w:tcBorders>
          </w:tcPr>
          <w:p w:rsidR="003817BE" w:rsidRPr="00623AE6" w:rsidRDefault="003817BE">
            <w:pPr>
              <w:pStyle w:val="Heading3"/>
              <w:rPr>
                <w:rFonts w:cs="Arial"/>
                <w:b/>
                <w:sz w:val="22"/>
                <w:szCs w:val="22"/>
              </w:rPr>
            </w:pPr>
            <w:r w:rsidRPr="00623AE6">
              <w:rPr>
                <w:rFonts w:cs="Arial"/>
                <w:b/>
                <w:sz w:val="22"/>
                <w:szCs w:val="22"/>
              </w:rPr>
              <w:t>Review of the Agenda</w:t>
            </w:r>
          </w:p>
        </w:tc>
        <w:tc>
          <w:tcPr>
            <w:tcW w:w="2006" w:type="dxa"/>
            <w:tcBorders>
              <w:top w:val="nil"/>
            </w:tcBorders>
          </w:tcPr>
          <w:p w:rsidR="003817BE" w:rsidRPr="00623AE6" w:rsidRDefault="003817BE">
            <w:pPr>
              <w:rPr>
                <w:rFonts w:cs="Arial"/>
                <w:sz w:val="22"/>
                <w:szCs w:val="22"/>
              </w:rPr>
            </w:pPr>
            <w:r>
              <w:rPr>
                <w:rFonts w:cs="Arial"/>
                <w:sz w:val="22"/>
                <w:szCs w:val="22"/>
              </w:rPr>
              <w:t>Add 4.4</w:t>
            </w:r>
            <w:r w:rsidR="00686969">
              <w:rPr>
                <w:rFonts w:cs="Arial"/>
                <w:sz w:val="22"/>
                <w:szCs w:val="22"/>
              </w:rPr>
              <w:t>, 4.5</w:t>
            </w:r>
            <w:r>
              <w:rPr>
                <w:rFonts w:cs="Arial"/>
                <w:sz w:val="22"/>
                <w:szCs w:val="22"/>
              </w:rPr>
              <w:t xml:space="preserve"> and 4.</w:t>
            </w:r>
            <w:r w:rsidR="00686969">
              <w:rPr>
                <w:rFonts w:cs="Arial"/>
                <w:sz w:val="22"/>
                <w:szCs w:val="22"/>
              </w:rPr>
              <w:t>6</w:t>
            </w:r>
          </w:p>
        </w:tc>
      </w:tr>
      <w:tr w:rsidR="003817BE" w:rsidRPr="00623AE6" w:rsidTr="008D2FDD">
        <w:trPr>
          <w:jc w:val="center"/>
        </w:trPr>
        <w:tc>
          <w:tcPr>
            <w:tcW w:w="1223" w:type="dxa"/>
            <w:tcBorders>
              <w:top w:val="nil"/>
            </w:tcBorders>
          </w:tcPr>
          <w:p w:rsidR="003817BE" w:rsidRPr="00623AE6" w:rsidRDefault="003817BE">
            <w:pPr>
              <w:rPr>
                <w:rFonts w:cs="Arial"/>
                <w:b/>
                <w:sz w:val="22"/>
                <w:szCs w:val="22"/>
              </w:rPr>
            </w:pPr>
            <w:bookmarkStart w:id="0" w:name="_Hlk327345825"/>
            <w:r w:rsidRPr="00623AE6">
              <w:rPr>
                <w:rFonts w:cs="Arial"/>
                <w:b/>
                <w:sz w:val="22"/>
                <w:szCs w:val="22"/>
              </w:rPr>
              <w:t xml:space="preserve">2.0 </w:t>
            </w:r>
          </w:p>
        </w:tc>
        <w:tc>
          <w:tcPr>
            <w:tcW w:w="6184" w:type="dxa"/>
            <w:tcBorders>
              <w:top w:val="nil"/>
            </w:tcBorders>
          </w:tcPr>
          <w:p w:rsidR="003817BE" w:rsidRPr="00623AE6" w:rsidRDefault="003817BE">
            <w:pPr>
              <w:pStyle w:val="Heading3"/>
              <w:rPr>
                <w:rFonts w:cs="Arial"/>
                <w:sz w:val="22"/>
                <w:szCs w:val="22"/>
              </w:rPr>
            </w:pPr>
            <w:r>
              <w:rPr>
                <w:rFonts w:cs="Arial"/>
                <w:b/>
                <w:sz w:val="22"/>
                <w:szCs w:val="22"/>
              </w:rPr>
              <w:t>Review of Minutes</w:t>
            </w:r>
          </w:p>
          <w:p w:rsidR="003817BE" w:rsidRPr="00623AE6" w:rsidRDefault="003817BE" w:rsidP="005577EC">
            <w:pPr>
              <w:pStyle w:val="Heading3"/>
              <w:rPr>
                <w:rFonts w:cs="Arial"/>
                <w:b/>
                <w:sz w:val="22"/>
                <w:szCs w:val="22"/>
              </w:rPr>
            </w:pPr>
            <w:r>
              <w:rPr>
                <w:rFonts w:cs="Arial"/>
                <w:b/>
                <w:sz w:val="22"/>
                <w:szCs w:val="22"/>
              </w:rPr>
              <w:t>May 1, 2014</w:t>
            </w:r>
          </w:p>
        </w:tc>
        <w:tc>
          <w:tcPr>
            <w:tcW w:w="2006" w:type="dxa"/>
            <w:tcBorders>
              <w:top w:val="nil"/>
            </w:tcBorders>
          </w:tcPr>
          <w:p w:rsidR="003817BE" w:rsidRPr="00623AE6" w:rsidRDefault="003817BE">
            <w:pPr>
              <w:rPr>
                <w:rFonts w:cs="Arial"/>
                <w:sz w:val="22"/>
                <w:szCs w:val="22"/>
              </w:rPr>
            </w:pPr>
            <w:r>
              <w:rPr>
                <w:rFonts w:cs="Arial"/>
                <w:sz w:val="22"/>
                <w:szCs w:val="22"/>
              </w:rPr>
              <w:t>accepted</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r w:rsidRPr="00623AE6">
              <w:rPr>
                <w:rFonts w:cs="Arial"/>
                <w:b/>
                <w:sz w:val="22"/>
                <w:szCs w:val="22"/>
              </w:rPr>
              <w:t>3.0</w:t>
            </w:r>
          </w:p>
        </w:tc>
        <w:tc>
          <w:tcPr>
            <w:tcW w:w="6184" w:type="dxa"/>
            <w:tcBorders>
              <w:top w:val="nil"/>
            </w:tcBorders>
          </w:tcPr>
          <w:p w:rsidR="003817BE" w:rsidRPr="00623AE6" w:rsidRDefault="003817BE" w:rsidP="004D096A">
            <w:pPr>
              <w:rPr>
                <w:rFonts w:cs="Arial"/>
                <w:b/>
                <w:sz w:val="22"/>
                <w:szCs w:val="22"/>
              </w:rPr>
            </w:pPr>
            <w:r w:rsidRPr="00623AE6">
              <w:rPr>
                <w:rFonts w:cs="Arial"/>
                <w:b/>
                <w:sz w:val="22"/>
                <w:szCs w:val="22"/>
              </w:rPr>
              <w:t>Business Arising</w:t>
            </w:r>
            <w:r>
              <w:rPr>
                <w:rFonts w:cs="Arial"/>
                <w:b/>
                <w:sz w:val="22"/>
                <w:szCs w:val="22"/>
              </w:rPr>
              <w:t xml:space="preserve"> from the Minutes </w:t>
            </w:r>
          </w:p>
        </w:tc>
        <w:tc>
          <w:tcPr>
            <w:tcW w:w="2006" w:type="dxa"/>
            <w:tcBorders>
              <w:top w:val="nil"/>
              <w:right w:val="single" w:sz="4" w:space="0" w:color="auto"/>
            </w:tcBorders>
          </w:tcPr>
          <w:p w:rsidR="003817BE" w:rsidRPr="00D77350" w:rsidRDefault="003817BE" w:rsidP="004D096A">
            <w:pPr>
              <w:rPr>
                <w:rFonts w:cs="Arial"/>
                <w:b/>
                <w:sz w:val="22"/>
                <w:szCs w:val="22"/>
              </w:rPr>
            </w:pP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776205">
            <w:pPr>
              <w:keepNext/>
              <w:keepLines/>
              <w:rPr>
                <w:rFonts w:cs="Arial"/>
                <w:sz w:val="22"/>
                <w:szCs w:val="22"/>
              </w:rPr>
            </w:pPr>
            <w:r>
              <w:rPr>
                <w:rFonts w:cs="Arial"/>
                <w:sz w:val="22"/>
                <w:szCs w:val="22"/>
              </w:rPr>
              <w:t>Thank you letters</w:t>
            </w:r>
          </w:p>
          <w:p w:rsidR="003817BE" w:rsidRPr="00776205" w:rsidRDefault="003817BE" w:rsidP="00776205">
            <w:pPr>
              <w:keepNext/>
              <w:keepLines/>
              <w:rPr>
                <w:rFonts w:cs="Arial"/>
                <w:sz w:val="22"/>
                <w:szCs w:val="22"/>
              </w:rPr>
            </w:pPr>
            <w:r>
              <w:rPr>
                <w:rFonts w:cs="Arial"/>
                <w:sz w:val="22"/>
                <w:szCs w:val="22"/>
              </w:rPr>
              <w:t>-defer</w:t>
            </w:r>
          </w:p>
        </w:tc>
        <w:tc>
          <w:tcPr>
            <w:tcW w:w="2006" w:type="dxa"/>
            <w:tcBorders>
              <w:top w:val="nil"/>
              <w:right w:val="single" w:sz="4" w:space="0" w:color="auto"/>
            </w:tcBorders>
          </w:tcPr>
          <w:p w:rsidR="003817BE" w:rsidRPr="00CA4F17" w:rsidRDefault="003817BE" w:rsidP="00CA4F17">
            <w:pPr>
              <w:rPr>
                <w:rFonts w:cs="Arial"/>
                <w:sz w:val="22"/>
                <w:szCs w:val="22"/>
              </w:rPr>
            </w:pPr>
            <w:r w:rsidRPr="00CA4F17">
              <w:rPr>
                <w:rFonts w:cs="Arial"/>
                <w:sz w:val="22"/>
                <w:szCs w:val="22"/>
              </w:rPr>
              <w:t>Brenda and Shanna</w:t>
            </w:r>
            <w:r>
              <w:rPr>
                <w:rFonts w:cs="Arial"/>
                <w:sz w:val="22"/>
                <w:szCs w:val="22"/>
              </w:rPr>
              <w:t xml:space="preserve"> to f/u</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776205">
            <w:pPr>
              <w:keepNext/>
              <w:keepLines/>
              <w:rPr>
                <w:rFonts w:cs="Arial"/>
                <w:sz w:val="22"/>
                <w:szCs w:val="22"/>
              </w:rPr>
            </w:pPr>
            <w:r w:rsidRPr="00776205">
              <w:rPr>
                <w:rFonts w:cs="Arial"/>
                <w:sz w:val="22"/>
                <w:szCs w:val="22"/>
              </w:rPr>
              <w:t>Establishing a pool of reviewers with content expertise for Core Indicator review</w:t>
            </w:r>
          </w:p>
          <w:p w:rsidR="003817BE" w:rsidRDefault="003817BE" w:rsidP="00776205">
            <w:pPr>
              <w:keepNext/>
              <w:keepLines/>
              <w:rPr>
                <w:rFonts w:cs="Arial"/>
                <w:sz w:val="22"/>
                <w:szCs w:val="22"/>
              </w:rPr>
            </w:pPr>
            <w:r>
              <w:rPr>
                <w:rFonts w:cs="Arial"/>
                <w:sz w:val="22"/>
                <w:szCs w:val="22"/>
              </w:rPr>
              <w:t>-we’re ok with having a couple of extra questions on their profile when they renew membership</w:t>
            </w:r>
          </w:p>
          <w:p w:rsidR="003817BE" w:rsidRPr="00776205" w:rsidRDefault="003817BE" w:rsidP="00776205">
            <w:pPr>
              <w:keepNext/>
              <w:keepLines/>
              <w:rPr>
                <w:rFonts w:cs="Arial"/>
                <w:sz w:val="22"/>
                <w:szCs w:val="22"/>
              </w:rPr>
            </w:pPr>
            <w:r>
              <w:rPr>
                <w:rFonts w:cs="Arial"/>
                <w:sz w:val="22"/>
                <w:szCs w:val="22"/>
              </w:rPr>
              <w:t>-perhaps consider another mail list</w:t>
            </w:r>
          </w:p>
        </w:tc>
        <w:tc>
          <w:tcPr>
            <w:tcW w:w="2006" w:type="dxa"/>
            <w:tcBorders>
              <w:top w:val="nil"/>
              <w:right w:val="single" w:sz="4" w:space="0" w:color="auto"/>
            </w:tcBorders>
          </w:tcPr>
          <w:p w:rsidR="003817BE" w:rsidRPr="00CA4F17" w:rsidRDefault="003817BE" w:rsidP="00CA4F17">
            <w:pPr>
              <w:rPr>
                <w:rFonts w:cs="Arial"/>
                <w:sz w:val="22"/>
                <w:szCs w:val="22"/>
              </w:rPr>
            </w:pPr>
            <w:r w:rsidRPr="00CA4F17">
              <w:rPr>
                <w:rFonts w:cs="Arial"/>
                <w:sz w:val="22"/>
                <w:szCs w:val="22"/>
              </w:rPr>
              <w:t>Suzanne</w:t>
            </w:r>
            <w:r>
              <w:rPr>
                <w:rFonts w:cs="Arial"/>
                <w:sz w:val="22"/>
                <w:szCs w:val="22"/>
              </w:rPr>
              <w:t xml:space="preserve"> to f/u with Cam</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rFonts w:cs="Arial"/>
                <w:sz w:val="22"/>
                <w:szCs w:val="22"/>
              </w:rPr>
            </w:pPr>
            <w:r w:rsidRPr="00776205">
              <w:rPr>
                <w:rFonts w:cs="Arial"/>
                <w:sz w:val="22"/>
                <w:szCs w:val="22"/>
              </w:rPr>
              <w:t>PHO Contract Epidemiologist position for Core Indicators</w:t>
            </w:r>
          </w:p>
          <w:p w:rsidR="003817BE" w:rsidRPr="00776205" w:rsidRDefault="003817BE" w:rsidP="004D096A">
            <w:pPr>
              <w:rPr>
                <w:rFonts w:cs="Arial"/>
                <w:sz w:val="22"/>
                <w:szCs w:val="22"/>
              </w:rPr>
            </w:pPr>
          </w:p>
        </w:tc>
        <w:tc>
          <w:tcPr>
            <w:tcW w:w="2006" w:type="dxa"/>
            <w:tcBorders>
              <w:top w:val="nil"/>
              <w:right w:val="single" w:sz="4" w:space="0" w:color="auto"/>
            </w:tcBorders>
          </w:tcPr>
          <w:p w:rsidR="003817BE" w:rsidRPr="00CA4F17" w:rsidRDefault="00FF4A40" w:rsidP="00CA4F17">
            <w:pPr>
              <w:rPr>
                <w:rFonts w:cs="Arial"/>
                <w:sz w:val="22"/>
                <w:szCs w:val="22"/>
              </w:rPr>
            </w:pPr>
            <w:r>
              <w:rPr>
                <w:rFonts w:cs="Arial"/>
                <w:sz w:val="22"/>
                <w:szCs w:val="22"/>
              </w:rPr>
              <w:t>Suzanne will draft a letter to PHO asking for supports</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rFonts w:cs="Arial"/>
                <w:sz w:val="22"/>
                <w:szCs w:val="22"/>
              </w:rPr>
            </w:pPr>
            <w:r>
              <w:rPr>
                <w:rFonts w:cs="Arial"/>
                <w:sz w:val="22"/>
                <w:szCs w:val="22"/>
              </w:rPr>
              <w:t>APHEO Core Indicators Pamphlet</w:t>
            </w:r>
          </w:p>
          <w:p w:rsidR="003817BE" w:rsidRPr="00776205" w:rsidRDefault="003817BE" w:rsidP="004D096A">
            <w:pPr>
              <w:rPr>
                <w:rFonts w:cs="Arial"/>
                <w:sz w:val="22"/>
                <w:szCs w:val="22"/>
              </w:rPr>
            </w:pPr>
            <w:r>
              <w:rPr>
                <w:rFonts w:cs="Arial"/>
                <w:sz w:val="22"/>
                <w:szCs w:val="22"/>
              </w:rPr>
              <w:t xml:space="preserve">-no further comments come forward from CIWG. Group agreed to printing for APHEO Workshop, </w:t>
            </w:r>
            <w:proofErr w:type="gramStart"/>
            <w:r>
              <w:rPr>
                <w:rFonts w:cs="Arial"/>
                <w:sz w:val="22"/>
                <w:szCs w:val="22"/>
              </w:rPr>
              <w:t>approx..</w:t>
            </w:r>
            <w:proofErr w:type="gramEnd"/>
            <w:r>
              <w:rPr>
                <w:rFonts w:cs="Arial"/>
                <w:sz w:val="22"/>
                <w:szCs w:val="22"/>
              </w:rPr>
              <w:t xml:space="preserve"> 100 copies</w:t>
            </w:r>
          </w:p>
        </w:tc>
        <w:tc>
          <w:tcPr>
            <w:tcW w:w="2006" w:type="dxa"/>
            <w:tcBorders>
              <w:top w:val="nil"/>
              <w:right w:val="single" w:sz="4" w:space="0" w:color="auto"/>
            </w:tcBorders>
          </w:tcPr>
          <w:p w:rsidR="003817BE" w:rsidRPr="00CA4F17" w:rsidRDefault="003817BE" w:rsidP="00FF4A40">
            <w:pPr>
              <w:rPr>
                <w:rFonts w:cs="Arial"/>
                <w:sz w:val="22"/>
                <w:szCs w:val="22"/>
              </w:rPr>
            </w:pPr>
            <w:r w:rsidRPr="00CA4F17">
              <w:rPr>
                <w:rFonts w:cs="Arial"/>
                <w:sz w:val="22"/>
                <w:szCs w:val="22"/>
              </w:rPr>
              <w:t>Brenda</w:t>
            </w:r>
            <w:r>
              <w:rPr>
                <w:rFonts w:cs="Arial"/>
                <w:sz w:val="22"/>
                <w:szCs w:val="22"/>
              </w:rPr>
              <w:t xml:space="preserve"> to f/u with </w:t>
            </w:r>
            <w:r w:rsidR="00FF4A40">
              <w:rPr>
                <w:rFonts w:cs="Arial"/>
                <w:sz w:val="22"/>
                <w:szCs w:val="22"/>
              </w:rPr>
              <w:t>HKPR</w:t>
            </w:r>
            <w:r>
              <w:rPr>
                <w:rFonts w:cs="Arial"/>
                <w:sz w:val="22"/>
                <w:szCs w:val="22"/>
              </w:rPr>
              <w:t xml:space="preserve"> for original doc, finalize and print</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rFonts w:cs="Arial"/>
                <w:sz w:val="22"/>
                <w:szCs w:val="22"/>
              </w:rPr>
            </w:pPr>
            <w:r w:rsidRPr="00776205">
              <w:rPr>
                <w:rFonts w:cs="Arial"/>
                <w:sz w:val="22"/>
                <w:szCs w:val="22"/>
              </w:rPr>
              <w:t>Core Indicators Logo</w:t>
            </w:r>
          </w:p>
          <w:p w:rsidR="003817BE" w:rsidRDefault="003817BE" w:rsidP="004D096A">
            <w:pPr>
              <w:rPr>
                <w:rFonts w:cs="Arial"/>
                <w:sz w:val="22"/>
                <w:szCs w:val="22"/>
              </w:rPr>
            </w:pPr>
            <w:r>
              <w:rPr>
                <w:rFonts w:cs="Arial"/>
                <w:sz w:val="22"/>
                <w:szCs w:val="22"/>
              </w:rPr>
              <w:t>-Exec uncomfortable about multiple logos.</w:t>
            </w:r>
          </w:p>
          <w:p w:rsidR="003817BE" w:rsidRPr="00776205" w:rsidRDefault="003817BE" w:rsidP="004D096A">
            <w:pPr>
              <w:rPr>
                <w:rFonts w:cs="Arial"/>
                <w:sz w:val="22"/>
                <w:szCs w:val="22"/>
              </w:rPr>
            </w:pPr>
            <w:r>
              <w:rPr>
                <w:rFonts w:cs="Arial"/>
                <w:sz w:val="22"/>
                <w:szCs w:val="22"/>
              </w:rPr>
              <w:t>-Group agreed to stay with APHEO logo only</w:t>
            </w:r>
          </w:p>
        </w:tc>
        <w:tc>
          <w:tcPr>
            <w:tcW w:w="2006" w:type="dxa"/>
            <w:tcBorders>
              <w:top w:val="nil"/>
              <w:right w:val="single" w:sz="4" w:space="0" w:color="auto"/>
            </w:tcBorders>
          </w:tcPr>
          <w:p w:rsidR="003817BE" w:rsidRPr="00CA4F17" w:rsidRDefault="003817BE" w:rsidP="00CA4F17">
            <w:pPr>
              <w:rPr>
                <w:rFonts w:cs="Arial"/>
                <w:sz w:val="22"/>
                <w:szCs w:val="22"/>
              </w:rPr>
            </w:pP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Pr="00776205" w:rsidRDefault="003817BE" w:rsidP="00776205">
            <w:pPr>
              <w:rPr>
                <w:rFonts w:cs="Arial"/>
                <w:sz w:val="22"/>
                <w:szCs w:val="22"/>
              </w:rPr>
            </w:pPr>
            <w:r w:rsidRPr="00776205">
              <w:rPr>
                <w:rFonts w:cs="Arial"/>
                <w:sz w:val="22"/>
                <w:szCs w:val="22"/>
              </w:rPr>
              <w:t>Cancer Screening data release</w:t>
            </w:r>
          </w:p>
        </w:tc>
        <w:tc>
          <w:tcPr>
            <w:tcW w:w="2006" w:type="dxa"/>
            <w:tcBorders>
              <w:top w:val="nil"/>
              <w:right w:val="single" w:sz="4" w:space="0" w:color="auto"/>
            </w:tcBorders>
          </w:tcPr>
          <w:p w:rsidR="003817BE" w:rsidRPr="00CA4F17" w:rsidRDefault="003817BE" w:rsidP="00CA4F17">
            <w:pPr>
              <w:rPr>
                <w:rFonts w:cs="Arial"/>
                <w:sz w:val="22"/>
                <w:szCs w:val="22"/>
              </w:rPr>
            </w:pPr>
            <w:r w:rsidRPr="00CA4F17">
              <w:rPr>
                <w:rFonts w:cs="Arial"/>
                <w:sz w:val="22"/>
                <w:szCs w:val="22"/>
              </w:rPr>
              <w:t>Brenda</w:t>
            </w:r>
            <w:r>
              <w:rPr>
                <w:rFonts w:cs="Arial"/>
                <w:sz w:val="22"/>
                <w:szCs w:val="22"/>
              </w:rPr>
              <w:t xml:space="preserve"> to f/u</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rFonts w:cs="Arial"/>
                <w:sz w:val="22"/>
                <w:szCs w:val="22"/>
              </w:rPr>
            </w:pPr>
            <w:r w:rsidRPr="00DE71F2">
              <w:rPr>
                <w:rFonts w:cs="Arial"/>
                <w:sz w:val="22"/>
                <w:szCs w:val="22"/>
              </w:rPr>
              <w:t>Updating of Alignment document</w:t>
            </w:r>
          </w:p>
          <w:p w:rsidR="003817BE" w:rsidRDefault="003817BE" w:rsidP="004D096A">
            <w:pPr>
              <w:rPr>
                <w:rFonts w:cs="Arial"/>
                <w:sz w:val="22"/>
                <w:szCs w:val="22"/>
              </w:rPr>
            </w:pPr>
            <w:r>
              <w:rPr>
                <w:rFonts w:cs="Arial"/>
                <w:sz w:val="22"/>
                <w:szCs w:val="22"/>
              </w:rPr>
              <w:t>-defer</w:t>
            </w:r>
          </w:p>
          <w:p w:rsidR="003817BE" w:rsidRPr="00DE71F2" w:rsidRDefault="003817BE" w:rsidP="00FF4A40">
            <w:pPr>
              <w:rPr>
                <w:rFonts w:cs="Arial"/>
                <w:b/>
                <w:sz w:val="22"/>
                <w:szCs w:val="22"/>
              </w:rPr>
            </w:pPr>
            <w:r>
              <w:rPr>
                <w:rFonts w:cs="Arial"/>
                <w:sz w:val="22"/>
                <w:szCs w:val="22"/>
              </w:rPr>
              <w:t>-</w:t>
            </w:r>
            <w:r w:rsidR="00FF4A40">
              <w:rPr>
                <w:rFonts w:cs="Arial"/>
                <w:sz w:val="22"/>
                <w:szCs w:val="22"/>
              </w:rPr>
              <w:t xml:space="preserve">document needs to be </w:t>
            </w:r>
            <w:r>
              <w:rPr>
                <w:rFonts w:cs="Arial"/>
                <w:sz w:val="22"/>
                <w:szCs w:val="22"/>
              </w:rPr>
              <w:t>updat</w:t>
            </w:r>
            <w:r w:rsidR="00FF4A40">
              <w:rPr>
                <w:rFonts w:cs="Arial"/>
                <w:sz w:val="22"/>
                <w:szCs w:val="22"/>
              </w:rPr>
              <w:t>ed now that BORN data ha</w:t>
            </w:r>
            <w:r>
              <w:rPr>
                <w:rFonts w:cs="Arial"/>
                <w:sz w:val="22"/>
                <w:szCs w:val="22"/>
              </w:rPr>
              <w:t>s released</w:t>
            </w:r>
          </w:p>
        </w:tc>
        <w:tc>
          <w:tcPr>
            <w:tcW w:w="2006" w:type="dxa"/>
            <w:tcBorders>
              <w:top w:val="nil"/>
              <w:right w:val="single" w:sz="4" w:space="0" w:color="auto"/>
            </w:tcBorders>
          </w:tcPr>
          <w:p w:rsidR="003817BE" w:rsidRPr="00DE71F2" w:rsidRDefault="003817BE" w:rsidP="00CA4F17">
            <w:pPr>
              <w:rPr>
                <w:rFonts w:cs="Arial"/>
                <w:sz w:val="22"/>
                <w:szCs w:val="22"/>
              </w:rPr>
            </w:pPr>
            <w:r w:rsidRPr="00DE71F2">
              <w:rPr>
                <w:rFonts w:cs="Arial"/>
                <w:sz w:val="22"/>
                <w:szCs w:val="22"/>
              </w:rPr>
              <w:t>Brenda, Natalie and Sherri</w:t>
            </w:r>
            <w:r>
              <w:rPr>
                <w:rFonts w:cs="Arial"/>
                <w:sz w:val="22"/>
                <w:szCs w:val="22"/>
              </w:rPr>
              <w:t xml:space="preserve"> to meet</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Pr="00DE71F2" w:rsidRDefault="003817BE" w:rsidP="004D096A">
            <w:pPr>
              <w:rPr>
                <w:sz w:val="22"/>
                <w:szCs w:val="22"/>
              </w:rPr>
            </w:pPr>
            <w:r w:rsidRPr="00DE71F2">
              <w:rPr>
                <w:sz w:val="22"/>
                <w:szCs w:val="22"/>
              </w:rPr>
              <w:t>Data availability and access</w:t>
            </w:r>
          </w:p>
        </w:tc>
        <w:tc>
          <w:tcPr>
            <w:tcW w:w="2006" w:type="dxa"/>
            <w:tcBorders>
              <w:top w:val="nil"/>
              <w:right w:val="single" w:sz="4" w:space="0" w:color="auto"/>
            </w:tcBorders>
          </w:tcPr>
          <w:p w:rsidR="003817BE" w:rsidRPr="00DE71F2" w:rsidRDefault="003817BE" w:rsidP="00CA4F17">
            <w:pPr>
              <w:rPr>
                <w:rFonts w:cs="Arial"/>
                <w:sz w:val="22"/>
                <w:szCs w:val="22"/>
              </w:rPr>
            </w:pPr>
            <w:r w:rsidRPr="00DE71F2">
              <w:rPr>
                <w:rFonts w:cs="Arial"/>
                <w:sz w:val="22"/>
                <w:szCs w:val="22"/>
              </w:rPr>
              <w:t>Defer</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sz w:val="22"/>
                <w:szCs w:val="22"/>
              </w:rPr>
            </w:pPr>
            <w:r w:rsidRPr="00DE71F2">
              <w:rPr>
                <w:sz w:val="22"/>
                <w:szCs w:val="22"/>
              </w:rPr>
              <w:t>Denominator issues for infectious Disease Indicators</w:t>
            </w:r>
          </w:p>
          <w:p w:rsidR="003817BE" w:rsidRPr="00C377E5" w:rsidRDefault="003817BE" w:rsidP="002556CB">
            <w:pPr>
              <w:rPr>
                <w:sz w:val="22"/>
                <w:szCs w:val="22"/>
              </w:rPr>
            </w:pPr>
            <w:r>
              <w:rPr>
                <w:rFonts w:cs="Arial"/>
                <w:sz w:val="22"/>
                <w:szCs w:val="22"/>
              </w:rPr>
              <w:t>-</w:t>
            </w:r>
            <w:r w:rsidRPr="002556CB">
              <w:rPr>
                <w:rFonts w:cs="Arial"/>
                <w:sz w:val="22"/>
                <w:szCs w:val="22"/>
              </w:rPr>
              <w:t>Can be shared at the APHEO workshop re:  use of population projections rather than population estimates</w:t>
            </w:r>
            <w:r>
              <w:rPr>
                <w:rFonts w:cs="Arial"/>
                <w:sz w:val="22"/>
                <w:szCs w:val="22"/>
              </w:rPr>
              <w:t xml:space="preserve">.  </w:t>
            </w:r>
            <w:proofErr w:type="gramStart"/>
            <w:r>
              <w:rPr>
                <w:rFonts w:cs="Arial"/>
                <w:sz w:val="22"/>
                <w:szCs w:val="22"/>
              </w:rPr>
              <w:t>Change has not been implemented at PHO yet but are</w:t>
            </w:r>
            <w:proofErr w:type="gramEnd"/>
            <w:r>
              <w:rPr>
                <w:rFonts w:cs="Arial"/>
                <w:sz w:val="22"/>
                <w:szCs w:val="22"/>
              </w:rPr>
              <w:t xml:space="preserve"> coming.</w:t>
            </w:r>
          </w:p>
        </w:tc>
        <w:tc>
          <w:tcPr>
            <w:tcW w:w="2006" w:type="dxa"/>
            <w:tcBorders>
              <w:top w:val="nil"/>
              <w:right w:val="single" w:sz="4" w:space="0" w:color="auto"/>
            </w:tcBorders>
          </w:tcPr>
          <w:p w:rsidR="003817BE" w:rsidRPr="00DE71F2" w:rsidRDefault="003817BE" w:rsidP="00CA4F17">
            <w:pPr>
              <w:rPr>
                <w:rFonts w:cs="Arial"/>
                <w:sz w:val="22"/>
                <w:szCs w:val="22"/>
              </w:rPr>
            </w:pP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CA4F17">
            <w:pPr>
              <w:rPr>
                <w:rFonts w:cs="Arial"/>
                <w:sz w:val="22"/>
                <w:szCs w:val="22"/>
              </w:rPr>
            </w:pPr>
            <w:r w:rsidRPr="00DE71F2">
              <w:rPr>
                <w:rFonts w:cs="Arial"/>
                <w:sz w:val="22"/>
                <w:szCs w:val="22"/>
              </w:rPr>
              <w:t>APHEO Workshop 2014</w:t>
            </w:r>
          </w:p>
          <w:p w:rsidR="003817BE" w:rsidRDefault="003817BE" w:rsidP="00CA4F17">
            <w:pPr>
              <w:rPr>
                <w:rFonts w:cs="Arial"/>
                <w:sz w:val="22"/>
                <w:szCs w:val="22"/>
              </w:rPr>
            </w:pPr>
            <w:r>
              <w:rPr>
                <w:rFonts w:cs="Arial"/>
                <w:sz w:val="22"/>
                <w:szCs w:val="22"/>
              </w:rPr>
              <w:t>-</w:t>
            </w:r>
            <w:r w:rsidR="00FF4A40">
              <w:rPr>
                <w:rFonts w:cs="Arial"/>
                <w:sz w:val="22"/>
                <w:szCs w:val="22"/>
              </w:rPr>
              <w:t>APHEO executive decided that there will not be an</w:t>
            </w:r>
            <w:r>
              <w:rPr>
                <w:rFonts w:cs="Arial"/>
                <w:sz w:val="22"/>
                <w:szCs w:val="22"/>
              </w:rPr>
              <w:t xml:space="preserve"> AGM</w:t>
            </w:r>
            <w:r w:rsidR="00FF4A40">
              <w:rPr>
                <w:rFonts w:cs="Arial"/>
                <w:sz w:val="22"/>
                <w:szCs w:val="22"/>
              </w:rPr>
              <w:t xml:space="preserve"> at the workshop</w:t>
            </w:r>
          </w:p>
          <w:p w:rsidR="003817BE" w:rsidRDefault="003817BE" w:rsidP="00CA4F17">
            <w:pPr>
              <w:rPr>
                <w:rFonts w:cs="Arial"/>
                <w:sz w:val="22"/>
                <w:szCs w:val="22"/>
              </w:rPr>
            </w:pPr>
            <w:r>
              <w:rPr>
                <w:rFonts w:cs="Arial"/>
                <w:sz w:val="22"/>
                <w:szCs w:val="22"/>
              </w:rPr>
              <w:t>-</w:t>
            </w:r>
            <w:proofErr w:type="gramStart"/>
            <w:r>
              <w:rPr>
                <w:rFonts w:cs="Arial"/>
                <w:sz w:val="22"/>
                <w:szCs w:val="22"/>
              </w:rPr>
              <w:t>entertainment</w:t>
            </w:r>
            <w:proofErr w:type="gramEnd"/>
            <w:r>
              <w:rPr>
                <w:rFonts w:cs="Arial"/>
                <w:sz w:val="22"/>
                <w:szCs w:val="22"/>
              </w:rPr>
              <w:t xml:space="preserve"> – come up with a list of options for people and they can do it on their own.  Chuck will look into discounted </w:t>
            </w:r>
            <w:r>
              <w:rPr>
                <w:rFonts w:cs="Arial"/>
                <w:sz w:val="22"/>
                <w:szCs w:val="22"/>
              </w:rPr>
              <w:lastRenderedPageBreak/>
              <w:t>TIFF tickets.</w:t>
            </w:r>
          </w:p>
          <w:p w:rsidR="003817BE" w:rsidRPr="00DE71F2" w:rsidRDefault="003817BE" w:rsidP="00CA4F17">
            <w:pPr>
              <w:rPr>
                <w:rFonts w:cs="Arial"/>
                <w:sz w:val="22"/>
                <w:szCs w:val="22"/>
              </w:rPr>
            </w:pPr>
            <w:r>
              <w:rPr>
                <w:rFonts w:cs="Arial"/>
                <w:sz w:val="22"/>
                <w:szCs w:val="22"/>
              </w:rPr>
              <w:t>Call for abstracts will be coming out this week.</w:t>
            </w:r>
          </w:p>
        </w:tc>
        <w:tc>
          <w:tcPr>
            <w:tcW w:w="2006" w:type="dxa"/>
            <w:tcBorders>
              <w:top w:val="nil"/>
              <w:right w:val="single" w:sz="4" w:space="0" w:color="auto"/>
            </w:tcBorders>
          </w:tcPr>
          <w:p w:rsidR="003817BE" w:rsidRPr="00DE71F2" w:rsidRDefault="003817BE" w:rsidP="00CA4F17">
            <w:pPr>
              <w:rPr>
                <w:rFonts w:cs="Arial"/>
                <w:sz w:val="22"/>
                <w:szCs w:val="22"/>
              </w:rPr>
            </w:pPr>
            <w:r>
              <w:rPr>
                <w:rFonts w:cs="Arial"/>
                <w:sz w:val="22"/>
                <w:szCs w:val="22"/>
              </w:rPr>
              <w:lastRenderedPageBreak/>
              <w:t xml:space="preserve">Ahalya to talk to Chuck re:  restaurant plans for people to meet (pay their own </w:t>
            </w:r>
            <w:r>
              <w:rPr>
                <w:rFonts w:cs="Arial"/>
                <w:sz w:val="22"/>
                <w:szCs w:val="22"/>
              </w:rPr>
              <w:lastRenderedPageBreak/>
              <w:t>way)</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Pr="00DE71F2" w:rsidRDefault="003817BE" w:rsidP="00CA4F17">
            <w:pPr>
              <w:rPr>
                <w:rFonts w:cs="Arial"/>
                <w:sz w:val="22"/>
                <w:szCs w:val="22"/>
              </w:rPr>
            </w:pPr>
            <w:r w:rsidRPr="00DE71F2">
              <w:rPr>
                <w:rFonts w:cs="Arial"/>
                <w:sz w:val="22"/>
                <w:szCs w:val="22"/>
              </w:rPr>
              <w:t>Membership list updates</w:t>
            </w:r>
          </w:p>
        </w:tc>
        <w:tc>
          <w:tcPr>
            <w:tcW w:w="2006" w:type="dxa"/>
            <w:tcBorders>
              <w:top w:val="nil"/>
              <w:right w:val="single" w:sz="4" w:space="0" w:color="auto"/>
            </w:tcBorders>
          </w:tcPr>
          <w:p w:rsidR="003817BE" w:rsidRPr="00DE71F2" w:rsidRDefault="003817BE" w:rsidP="00CA4F17">
            <w:pPr>
              <w:rPr>
                <w:rFonts w:cs="Arial"/>
                <w:sz w:val="22"/>
                <w:szCs w:val="22"/>
              </w:rPr>
            </w:pPr>
            <w:r w:rsidRPr="00DE71F2">
              <w:rPr>
                <w:rFonts w:cs="Arial"/>
                <w:sz w:val="22"/>
                <w:szCs w:val="22"/>
              </w:rPr>
              <w:t>Suzanne</w:t>
            </w:r>
            <w:r>
              <w:rPr>
                <w:rFonts w:cs="Arial"/>
                <w:sz w:val="22"/>
                <w:szCs w:val="22"/>
              </w:rPr>
              <w:t xml:space="preserve"> to connect with each subgroup lead</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sz w:val="22"/>
                <w:szCs w:val="22"/>
              </w:rPr>
            </w:pPr>
            <w:r w:rsidRPr="00DE71F2">
              <w:rPr>
                <w:sz w:val="22"/>
                <w:szCs w:val="22"/>
              </w:rPr>
              <w:t>Cancer Indicators</w:t>
            </w:r>
          </w:p>
          <w:p w:rsidR="003817BE" w:rsidRDefault="003817BE" w:rsidP="004D096A">
            <w:pPr>
              <w:rPr>
                <w:sz w:val="22"/>
                <w:szCs w:val="22"/>
              </w:rPr>
            </w:pPr>
            <w:r>
              <w:rPr>
                <w:sz w:val="22"/>
                <w:szCs w:val="22"/>
              </w:rPr>
              <w:t>CCO wants to review all indicators.  Issues:  morphology &amp; ICD-10 codes, age groups</w:t>
            </w:r>
          </w:p>
          <w:p w:rsidR="003817BE" w:rsidRDefault="003817BE" w:rsidP="004D096A">
            <w:pPr>
              <w:rPr>
                <w:sz w:val="22"/>
                <w:szCs w:val="22"/>
              </w:rPr>
            </w:pPr>
            <w:r>
              <w:rPr>
                <w:sz w:val="22"/>
                <w:szCs w:val="22"/>
              </w:rPr>
              <w:t>Still trying to confirm with CCO that they are ok with changes.</w:t>
            </w:r>
          </w:p>
          <w:p w:rsidR="003817BE" w:rsidRPr="00DE71F2" w:rsidRDefault="003817BE" w:rsidP="004D096A">
            <w:pPr>
              <w:rPr>
                <w:sz w:val="22"/>
                <w:szCs w:val="22"/>
              </w:rPr>
            </w:pPr>
            <w:r>
              <w:rPr>
                <w:sz w:val="22"/>
                <w:szCs w:val="22"/>
              </w:rPr>
              <w:t>Information on PHO cancer snapshot is in line with CCO.</w:t>
            </w:r>
          </w:p>
        </w:tc>
        <w:tc>
          <w:tcPr>
            <w:tcW w:w="2006" w:type="dxa"/>
            <w:tcBorders>
              <w:top w:val="nil"/>
              <w:right w:val="single" w:sz="4" w:space="0" w:color="auto"/>
            </w:tcBorders>
          </w:tcPr>
          <w:p w:rsidR="003817BE" w:rsidRPr="00DE71F2" w:rsidRDefault="003817BE" w:rsidP="00CA4F17">
            <w:pPr>
              <w:rPr>
                <w:rFonts w:cs="Arial"/>
                <w:sz w:val="22"/>
                <w:szCs w:val="22"/>
              </w:rPr>
            </w:pP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sz w:val="22"/>
                <w:szCs w:val="22"/>
              </w:rPr>
            </w:pPr>
            <w:r w:rsidRPr="00DE71F2">
              <w:rPr>
                <w:sz w:val="22"/>
                <w:szCs w:val="22"/>
              </w:rPr>
              <w:t>Review of Indicators</w:t>
            </w:r>
          </w:p>
          <w:p w:rsidR="00FF4A40" w:rsidRPr="00DE71F2" w:rsidRDefault="00FF4A40" w:rsidP="004D096A">
            <w:pPr>
              <w:rPr>
                <w:sz w:val="22"/>
                <w:szCs w:val="22"/>
              </w:rPr>
            </w:pPr>
            <w:r>
              <w:rPr>
                <w:sz w:val="22"/>
                <w:szCs w:val="22"/>
              </w:rPr>
              <w:t>-to be added to PHO letter</w:t>
            </w:r>
          </w:p>
        </w:tc>
        <w:tc>
          <w:tcPr>
            <w:tcW w:w="2006" w:type="dxa"/>
            <w:tcBorders>
              <w:top w:val="nil"/>
              <w:right w:val="single" w:sz="4" w:space="0" w:color="auto"/>
            </w:tcBorders>
          </w:tcPr>
          <w:p w:rsidR="003817BE" w:rsidRPr="00DE71F2" w:rsidRDefault="003817BE" w:rsidP="00CA4F17">
            <w:pPr>
              <w:rPr>
                <w:rFonts w:cs="Arial"/>
                <w:sz w:val="22"/>
                <w:szCs w:val="22"/>
              </w:rPr>
            </w:pP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sz w:val="22"/>
                <w:szCs w:val="22"/>
              </w:rPr>
            </w:pPr>
            <w:r>
              <w:rPr>
                <w:sz w:val="22"/>
                <w:szCs w:val="22"/>
              </w:rPr>
              <w:t>Child Youth Subgroup</w:t>
            </w:r>
          </w:p>
          <w:p w:rsidR="003817BE" w:rsidRDefault="003817BE" w:rsidP="004D096A">
            <w:pPr>
              <w:rPr>
                <w:sz w:val="22"/>
                <w:szCs w:val="22"/>
              </w:rPr>
            </w:pPr>
            <w:r>
              <w:rPr>
                <w:sz w:val="22"/>
                <w:szCs w:val="22"/>
              </w:rPr>
              <w:t>-part of letter to PHO for support re:  chair for this</w:t>
            </w:r>
          </w:p>
          <w:p w:rsidR="003817BE" w:rsidRPr="00DE71F2" w:rsidRDefault="003817BE" w:rsidP="004D096A">
            <w:pPr>
              <w:rPr>
                <w:sz w:val="22"/>
                <w:szCs w:val="22"/>
              </w:rPr>
            </w:pPr>
            <w:r>
              <w:rPr>
                <w:sz w:val="22"/>
                <w:szCs w:val="22"/>
              </w:rPr>
              <w:t>-f/u with original membership re:  co-chair</w:t>
            </w:r>
            <w:r w:rsidR="00FF4A40">
              <w:rPr>
                <w:sz w:val="22"/>
                <w:szCs w:val="22"/>
              </w:rPr>
              <w:t xml:space="preserve"> interest</w:t>
            </w:r>
            <w:r>
              <w:rPr>
                <w:sz w:val="22"/>
                <w:szCs w:val="22"/>
              </w:rPr>
              <w:t>.</w:t>
            </w:r>
          </w:p>
        </w:tc>
        <w:tc>
          <w:tcPr>
            <w:tcW w:w="2006" w:type="dxa"/>
            <w:tcBorders>
              <w:top w:val="nil"/>
              <w:right w:val="single" w:sz="4" w:space="0" w:color="auto"/>
            </w:tcBorders>
          </w:tcPr>
          <w:p w:rsidR="003817BE" w:rsidRPr="00DE71F2" w:rsidRDefault="003817BE" w:rsidP="00CA4F17">
            <w:pPr>
              <w:rPr>
                <w:rFonts w:cs="Arial"/>
                <w:sz w:val="22"/>
                <w:szCs w:val="22"/>
              </w:rPr>
            </w:pPr>
            <w:r>
              <w:rPr>
                <w:rFonts w:cs="Arial"/>
                <w:sz w:val="22"/>
                <w:szCs w:val="22"/>
              </w:rPr>
              <w:t>Brenda/Suzanne</w:t>
            </w:r>
          </w:p>
        </w:tc>
      </w:tr>
      <w:tr w:rsidR="003817BE" w:rsidRPr="00623AE6" w:rsidTr="008D2FDD">
        <w:trPr>
          <w:jc w:val="center"/>
        </w:trPr>
        <w:tc>
          <w:tcPr>
            <w:tcW w:w="1223" w:type="dxa"/>
            <w:tcBorders>
              <w:top w:val="nil"/>
            </w:tcBorders>
          </w:tcPr>
          <w:p w:rsidR="003817BE" w:rsidRPr="00623AE6" w:rsidRDefault="003817BE" w:rsidP="004D096A">
            <w:pPr>
              <w:rPr>
                <w:rFonts w:cs="Arial"/>
                <w:b/>
                <w:sz w:val="22"/>
                <w:szCs w:val="22"/>
              </w:rPr>
            </w:pPr>
          </w:p>
        </w:tc>
        <w:tc>
          <w:tcPr>
            <w:tcW w:w="6184" w:type="dxa"/>
            <w:tcBorders>
              <w:top w:val="nil"/>
            </w:tcBorders>
          </w:tcPr>
          <w:p w:rsidR="003817BE" w:rsidRDefault="003817BE" w:rsidP="004D096A">
            <w:pPr>
              <w:rPr>
                <w:sz w:val="22"/>
                <w:szCs w:val="22"/>
              </w:rPr>
            </w:pPr>
            <w:r>
              <w:rPr>
                <w:sz w:val="22"/>
                <w:szCs w:val="22"/>
              </w:rPr>
              <w:t>Areas for Core Indicator review</w:t>
            </w:r>
          </w:p>
          <w:p w:rsidR="003817BE" w:rsidRDefault="003817BE" w:rsidP="004D096A">
            <w:pPr>
              <w:rPr>
                <w:sz w:val="22"/>
                <w:szCs w:val="22"/>
              </w:rPr>
            </w:pPr>
            <w:r>
              <w:rPr>
                <w:sz w:val="22"/>
                <w:szCs w:val="22"/>
              </w:rPr>
              <w:t xml:space="preserve">-link to strategic plan:  </w:t>
            </w:r>
            <w:hyperlink r:id="rId7" w:history="1">
              <w:r w:rsidRPr="00A8067B">
                <w:rPr>
                  <w:rStyle w:val="Hyperlink"/>
                  <w:sz w:val="22"/>
                  <w:szCs w:val="22"/>
                </w:rPr>
                <w:t>http://www.apheo.ca/index.php?pid=256</w:t>
              </w:r>
            </w:hyperlink>
          </w:p>
          <w:p w:rsidR="003817BE" w:rsidRDefault="003817BE" w:rsidP="004D096A">
            <w:pPr>
              <w:rPr>
                <w:sz w:val="22"/>
                <w:szCs w:val="22"/>
              </w:rPr>
            </w:pPr>
            <w:r>
              <w:rPr>
                <w:sz w:val="22"/>
                <w:szCs w:val="22"/>
              </w:rPr>
              <w:t>-do we need to have another facilitated discussion to guide the work of the Project?  Should this be included in a letter to PHO?</w:t>
            </w:r>
          </w:p>
        </w:tc>
        <w:tc>
          <w:tcPr>
            <w:tcW w:w="2006" w:type="dxa"/>
            <w:tcBorders>
              <w:top w:val="nil"/>
              <w:right w:val="single" w:sz="4" w:space="0" w:color="auto"/>
            </w:tcBorders>
          </w:tcPr>
          <w:p w:rsidR="003817BE" w:rsidRDefault="003817BE" w:rsidP="00CA4F17">
            <w:pPr>
              <w:rPr>
                <w:rFonts w:cs="Arial"/>
                <w:sz w:val="22"/>
                <w:szCs w:val="22"/>
              </w:rPr>
            </w:pPr>
            <w:r>
              <w:rPr>
                <w:rFonts w:cs="Arial"/>
                <w:sz w:val="22"/>
                <w:szCs w:val="22"/>
              </w:rPr>
              <w:t>Suzanne to f/u with Exec re:  possible funding.  Brenda to assist.</w:t>
            </w:r>
          </w:p>
        </w:tc>
      </w:tr>
      <w:tr w:rsidR="003817BE" w:rsidRPr="00623AE6" w:rsidTr="008D2FDD">
        <w:trPr>
          <w:jc w:val="center"/>
        </w:trPr>
        <w:tc>
          <w:tcPr>
            <w:tcW w:w="1223" w:type="dxa"/>
            <w:tcBorders>
              <w:top w:val="nil"/>
            </w:tcBorders>
          </w:tcPr>
          <w:p w:rsidR="003817BE" w:rsidRPr="00623AE6" w:rsidRDefault="003817BE">
            <w:pPr>
              <w:rPr>
                <w:rFonts w:cs="Arial"/>
                <w:b/>
                <w:sz w:val="22"/>
                <w:szCs w:val="22"/>
              </w:rPr>
            </w:pPr>
            <w:r w:rsidRPr="00623AE6">
              <w:rPr>
                <w:rFonts w:cs="Arial"/>
                <w:b/>
                <w:sz w:val="22"/>
                <w:szCs w:val="22"/>
              </w:rPr>
              <w:t>4.0</w:t>
            </w:r>
          </w:p>
        </w:tc>
        <w:tc>
          <w:tcPr>
            <w:tcW w:w="6184" w:type="dxa"/>
            <w:tcBorders>
              <w:top w:val="nil"/>
            </w:tcBorders>
          </w:tcPr>
          <w:p w:rsidR="003817BE" w:rsidRPr="00623AE6" w:rsidRDefault="003817BE" w:rsidP="00630AB5">
            <w:pPr>
              <w:pStyle w:val="Heading3"/>
              <w:rPr>
                <w:rFonts w:cs="Arial"/>
                <w:b/>
                <w:sz w:val="22"/>
                <w:szCs w:val="22"/>
              </w:rPr>
            </w:pPr>
            <w:r w:rsidRPr="00623AE6">
              <w:rPr>
                <w:rFonts w:cs="Arial"/>
                <w:b/>
                <w:sz w:val="22"/>
                <w:szCs w:val="22"/>
              </w:rPr>
              <w:t>New Business</w:t>
            </w:r>
          </w:p>
        </w:tc>
        <w:tc>
          <w:tcPr>
            <w:tcW w:w="2006" w:type="dxa"/>
            <w:tcBorders>
              <w:top w:val="nil"/>
            </w:tcBorders>
          </w:tcPr>
          <w:p w:rsidR="003817BE" w:rsidRPr="00623AE6" w:rsidRDefault="003817BE">
            <w:pPr>
              <w:rPr>
                <w:rFonts w:cs="Arial"/>
                <w:sz w:val="22"/>
                <w:szCs w:val="22"/>
              </w:rPr>
            </w:pPr>
          </w:p>
        </w:tc>
      </w:tr>
      <w:tr w:rsidR="003817BE" w:rsidRPr="00623AE6" w:rsidTr="008D2FDD">
        <w:trPr>
          <w:jc w:val="center"/>
        </w:trPr>
        <w:tc>
          <w:tcPr>
            <w:tcW w:w="1223" w:type="dxa"/>
            <w:tcBorders>
              <w:top w:val="nil"/>
            </w:tcBorders>
          </w:tcPr>
          <w:p w:rsidR="003817BE" w:rsidRDefault="003817BE" w:rsidP="00FC424E">
            <w:pPr>
              <w:jc w:val="right"/>
              <w:rPr>
                <w:rFonts w:cs="Arial"/>
                <w:sz w:val="22"/>
                <w:szCs w:val="22"/>
              </w:rPr>
            </w:pPr>
            <w:r>
              <w:rPr>
                <w:rFonts w:cs="Arial"/>
                <w:sz w:val="22"/>
                <w:szCs w:val="22"/>
              </w:rPr>
              <w:t>4.1</w:t>
            </w:r>
          </w:p>
        </w:tc>
        <w:tc>
          <w:tcPr>
            <w:tcW w:w="6184" w:type="dxa"/>
            <w:tcBorders>
              <w:top w:val="nil"/>
            </w:tcBorders>
          </w:tcPr>
          <w:p w:rsidR="003817BE" w:rsidRDefault="003817BE" w:rsidP="00783305">
            <w:pPr>
              <w:rPr>
                <w:rFonts w:cs="Arial"/>
                <w:sz w:val="22"/>
                <w:szCs w:val="22"/>
              </w:rPr>
            </w:pPr>
            <w:r>
              <w:rPr>
                <w:rFonts w:cs="Arial"/>
                <w:sz w:val="22"/>
                <w:szCs w:val="22"/>
              </w:rPr>
              <w:t xml:space="preserve">Letter to MOHLTC re: </w:t>
            </w:r>
            <w:proofErr w:type="spellStart"/>
            <w:r>
              <w:rPr>
                <w:rFonts w:cs="Arial"/>
                <w:sz w:val="22"/>
                <w:szCs w:val="22"/>
              </w:rPr>
              <w:t>Intellihealth</w:t>
            </w:r>
            <w:proofErr w:type="spellEnd"/>
            <w:r>
              <w:rPr>
                <w:rFonts w:cs="Arial"/>
                <w:sz w:val="22"/>
                <w:szCs w:val="22"/>
              </w:rPr>
              <w:t xml:space="preserve"> support</w:t>
            </w:r>
          </w:p>
          <w:p w:rsidR="003817BE" w:rsidRDefault="003817BE" w:rsidP="00FF4A40">
            <w:pPr>
              <w:rPr>
                <w:rFonts w:cs="Arial"/>
                <w:sz w:val="22"/>
                <w:szCs w:val="22"/>
              </w:rPr>
            </w:pPr>
            <w:r>
              <w:rPr>
                <w:rFonts w:cs="Arial"/>
                <w:sz w:val="22"/>
                <w:szCs w:val="22"/>
              </w:rPr>
              <w:t>-JoAnn Heale is retiring (MAP email) and this could have a major impact on PHU supports</w:t>
            </w:r>
            <w:r w:rsidR="008D2FDD">
              <w:rPr>
                <w:rFonts w:cs="Arial"/>
                <w:sz w:val="22"/>
                <w:szCs w:val="22"/>
              </w:rPr>
              <w:t xml:space="preserve">.  Suggestion to have letters of support – one from APHEO president and others from Core Indicators </w:t>
            </w:r>
          </w:p>
        </w:tc>
        <w:tc>
          <w:tcPr>
            <w:tcW w:w="2006" w:type="dxa"/>
            <w:tcBorders>
              <w:top w:val="nil"/>
            </w:tcBorders>
          </w:tcPr>
          <w:p w:rsidR="003817BE" w:rsidRPr="00E02586" w:rsidRDefault="008D2FDD" w:rsidP="00783305">
            <w:pPr>
              <w:rPr>
                <w:rFonts w:cs="Arial"/>
                <w:sz w:val="22"/>
                <w:szCs w:val="22"/>
                <w:highlight w:val="lightGray"/>
              </w:rPr>
            </w:pPr>
            <w:r w:rsidRPr="00E02586">
              <w:rPr>
                <w:rFonts w:cs="Arial"/>
                <w:sz w:val="22"/>
                <w:szCs w:val="22"/>
                <w:highlight w:val="lightGray"/>
              </w:rPr>
              <w:t xml:space="preserve">MAP </w:t>
            </w:r>
            <w:r w:rsidR="00E02586" w:rsidRPr="00E02586">
              <w:rPr>
                <w:rFonts w:cs="Arial"/>
                <w:sz w:val="22"/>
                <w:szCs w:val="22"/>
                <w:highlight w:val="lightGray"/>
              </w:rPr>
              <w:t xml:space="preserve">and Suzanne to draft subgroups letters. </w:t>
            </w:r>
          </w:p>
          <w:p w:rsidR="008D2FDD" w:rsidRDefault="008D2FDD" w:rsidP="00783305">
            <w:pPr>
              <w:rPr>
                <w:rFonts w:cs="Arial"/>
                <w:sz w:val="22"/>
                <w:szCs w:val="22"/>
              </w:rPr>
            </w:pPr>
            <w:r w:rsidRPr="00E02586">
              <w:rPr>
                <w:rFonts w:cs="Arial"/>
                <w:sz w:val="22"/>
                <w:szCs w:val="22"/>
                <w:highlight w:val="lightGray"/>
              </w:rPr>
              <w:t>Suzanne to f/u with Cam</w:t>
            </w:r>
            <w:r w:rsidR="00E02586" w:rsidRPr="00E02586">
              <w:rPr>
                <w:rFonts w:cs="Arial"/>
                <w:sz w:val="22"/>
                <w:szCs w:val="22"/>
                <w:highlight w:val="lightGray"/>
              </w:rPr>
              <w:t xml:space="preserve"> to draft joint letter with Exec</w:t>
            </w:r>
            <w:r w:rsidRPr="00E02586">
              <w:rPr>
                <w:rFonts w:cs="Arial"/>
                <w:sz w:val="22"/>
                <w:szCs w:val="22"/>
                <w:highlight w:val="lightGray"/>
              </w:rPr>
              <w:t>.</w:t>
            </w:r>
          </w:p>
        </w:tc>
      </w:tr>
      <w:tr w:rsidR="003817BE" w:rsidRPr="00623AE6" w:rsidTr="008D2FDD">
        <w:trPr>
          <w:jc w:val="center"/>
        </w:trPr>
        <w:tc>
          <w:tcPr>
            <w:tcW w:w="1223" w:type="dxa"/>
            <w:tcBorders>
              <w:top w:val="nil"/>
            </w:tcBorders>
          </w:tcPr>
          <w:p w:rsidR="003817BE" w:rsidRDefault="003817BE" w:rsidP="00FC424E">
            <w:pPr>
              <w:jc w:val="right"/>
              <w:rPr>
                <w:rFonts w:cs="Arial"/>
                <w:sz w:val="22"/>
                <w:szCs w:val="22"/>
              </w:rPr>
            </w:pPr>
            <w:r>
              <w:rPr>
                <w:rFonts w:cs="Arial"/>
                <w:sz w:val="22"/>
                <w:szCs w:val="22"/>
              </w:rPr>
              <w:t>4.2</w:t>
            </w:r>
          </w:p>
        </w:tc>
        <w:tc>
          <w:tcPr>
            <w:tcW w:w="6184" w:type="dxa"/>
            <w:tcBorders>
              <w:top w:val="nil"/>
            </w:tcBorders>
          </w:tcPr>
          <w:p w:rsidR="003817BE" w:rsidRDefault="003817BE" w:rsidP="00596CC4">
            <w:pPr>
              <w:rPr>
                <w:rFonts w:cs="Arial"/>
                <w:sz w:val="22"/>
                <w:szCs w:val="22"/>
              </w:rPr>
            </w:pPr>
            <w:r>
              <w:rPr>
                <w:rFonts w:cs="Arial"/>
                <w:sz w:val="22"/>
                <w:szCs w:val="22"/>
              </w:rPr>
              <w:t>Small counts and proportions guidelines</w:t>
            </w:r>
          </w:p>
          <w:p w:rsidR="008D2FDD" w:rsidRDefault="008D2FDD" w:rsidP="008D2FDD">
            <w:pPr>
              <w:rPr>
                <w:rFonts w:cs="Arial"/>
                <w:sz w:val="22"/>
                <w:szCs w:val="22"/>
              </w:rPr>
            </w:pPr>
            <w:r>
              <w:rPr>
                <w:rFonts w:cs="Arial"/>
                <w:sz w:val="22"/>
                <w:szCs w:val="22"/>
              </w:rPr>
              <w:t>-</w:t>
            </w:r>
            <w:proofErr w:type="gramStart"/>
            <w:r>
              <w:rPr>
                <w:rFonts w:cs="Arial"/>
                <w:sz w:val="22"/>
                <w:szCs w:val="22"/>
              </w:rPr>
              <w:t xml:space="preserve">suggestion on </w:t>
            </w:r>
            <w:proofErr w:type="spellStart"/>
            <w:r>
              <w:rPr>
                <w:rFonts w:cs="Arial"/>
                <w:sz w:val="22"/>
                <w:szCs w:val="22"/>
              </w:rPr>
              <w:t>APHEOlist</w:t>
            </w:r>
            <w:proofErr w:type="spellEnd"/>
            <w:r>
              <w:rPr>
                <w:rFonts w:cs="Arial"/>
                <w:sz w:val="22"/>
                <w:szCs w:val="22"/>
              </w:rPr>
              <w:t xml:space="preserve"> that CIWG create</w:t>
            </w:r>
            <w:proofErr w:type="gramEnd"/>
            <w:r>
              <w:rPr>
                <w:rFonts w:cs="Arial"/>
                <w:sz w:val="22"/>
                <w:szCs w:val="22"/>
              </w:rPr>
              <w:t xml:space="preserve"> guidelines.  </w:t>
            </w:r>
          </w:p>
          <w:p w:rsidR="008D2FDD" w:rsidRDefault="008D2FDD" w:rsidP="008D2FDD">
            <w:pPr>
              <w:rPr>
                <w:rFonts w:cs="Arial"/>
                <w:sz w:val="22"/>
                <w:szCs w:val="22"/>
              </w:rPr>
            </w:pPr>
            <w:r>
              <w:rPr>
                <w:rFonts w:cs="Arial"/>
                <w:sz w:val="22"/>
                <w:szCs w:val="22"/>
              </w:rPr>
              <w:t>-</w:t>
            </w:r>
            <w:r w:rsidR="00095444">
              <w:rPr>
                <w:rFonts w:cs="Arial"/>
                <w:sz w:val="22"/>
                <w:szCs w:val="22"/>
              </w:rPr>
              <w:t>Suzanne to put together a small group. Ahalya volunteered.</w:t>
            </w:r>
          </w:p>
        </w:tc>
        <w:tc>
          <w:tcPr>
            <w:tcW w:w="2006" w:type="dxa"/>
            <w:tcBorders>
              <w:top w:val="nil"/>
            </w:tcBorders>
          </w:tcPr>
          <w:p w:rsidR="003817BE" w:rsidRDefault="00095444">
            <w:pPr>
              <w:rPr>
                <w:rFonts w:cs="Arial"/>
                <w:sz w:val="22"/>
                <w:szCs w:val="22"/>
              </w:rPr>
            </w:pPr>
            <w:r>
              <w:rPr>
                <w:rFonts w:cs="Arial"/>
                <w:sz w:val="22"/>
                <w:szCs w:val="22"/>
              </w:rPr>
              <w:t>Suzanne to approach Cam, John Barbaro and Jeremy Herring</w:t>
            </w:r>
          </w:p>
        </w:tc>
      </w:tr>
      <w:tr w:rsidR="003817BE" w:rsidRPr="00623AE6" w:rsidTr="008D2FDD">
        <w:trPr>
          <w:jc w:val="center"/>
        </w:trPr>
        <w:tc>
          <w:tcPr>
            <w:tcW w:w="1223" w:type="dxa"/>
            <w:tcBorders>
              <w:top w:val="nil"/>
            </w:tcBorders>
          </w:tcPr>
          <w:p w:rsidR="003817BE" w:rsidRDefault="003817BE" w:rsidP="00FC424E">
            <w:pPr>
              <w:jc w:val="right"/>
              <w:rPr>
                <w:rFonts w:cs="Arial"/>
                <w:sz w:val="22"/>
                <w:szCs w:val="22"/>
              </w:rPr>
            </w:pPr>
            <w:r>
              <w:rPr>
                <w:rFonts w:cs="Arial"/>
                <w:sz w:val="22"/>
                <w:szCs w:val="22"/>
              </w:rPr>
              <w:t>4.3</w:t>
            </w:r>
          </w:p>
        </w:tc>
        <w:tc>
          <w:tcPr>
            <w:tcW w:w="6184" w:type="dxa"/>
            <w:tcBorders>
              <w:top w:val="nil"/>
            </w:tcBorders>
          </w:tcPr>
          <w:p w:rsidR="003817BE" w:rsidRDefault="003817BE" w:rsidP="00DE71F2">
            <w:pPr>
              <w:rPr>
                <w:rFonts w:cs="Arial"/>
                <w:sz w:val="22"/>
                <w:szCs w:val="22"/>
              </w:rPr>
            </w:pPr>
            <w:r>
              <w:rPr>
                <w:rFonts w:cs="Arial"/>
                <w:sz w:val="22"/>
                <w:szCs w:val="22"/>
              </w:rPr>
              <w:t>Strategic and Operational planning</w:t>
            </w:r>
          </w:p>
          <w:p w:rsidR="00095444" w:rsidRPr="00095444" w:rsidRDefault="00095444" w:rsidP="00095444">
            <w:pPr>
              <w:rPr>
                <w:rFonts w:cs="Arial"/>
                <w:sz w:val="22"/>
                <w:szCs w:val="22"/>
              </w:rPr>
            </w:pPr>
            <w:r w:rsidRPr="00095444">
              <w:rPr>
                <w:rFonts w:cs="Arial"/>
                <w:sz w:val="22"/>
                <w:szCs w:val="22"/>
              </w:rPr>
              <w:t>Add to PHO letter for support as well as speak to Exec.</w:t>
            </w:r>
          </w:p>
        </w:tc>
        <w:tc>
          <w:tcPr>
            <w:tcW w:w="2006" w:type="dxa"/>
            <w:tcBorders>
              <w:top w:val="nil"/>
            </w:tcBorders>
          </w:tcPr>
          <w:p w:rsidR="003817BE" w:rsidRDefault="003817BE">
            <w:pPr>
              <w:rPr>
                <w:rFonts w:cs="Arial"/>
                <w:sz w:val="22"/>
                <w:szCs w:val="22"/>
              </w:rPr>
            </w:pPr>
          </w:p>
        </w:tc>
      </w:tr>
      <w:tr w:rsidR="003817BE" w:rsidRPr="00623AE6" w:rsidTr="008D2FDD">
        <w:trPr>
          <w:jc w:val="center"/>
        </w:trPr>
        <w:tc>
          <w:tcPr>
            <w:tcW w:w="1223" w:type="dxa"/>
            <w:tcBorders>
              <w:top w:val="nil"/>
            </w:tcBorders>
          </w:tcPr>
          <w:p w:rsidR="003817BE" w:rsidRDefault="003817BE" w:rsidP="00FC424E">
            <w:pPr>
              <w:jc w:val="right"/>
              <w:rPr>
                <w:rFonts w:cs="Arial"/>
                <w:sz w:val="22"/>
                <w:szCs w:val="22"/>
              </w:rPr>
            </w:pPr>
            <w:r>
              <w:rPr>
                <w:rFonts w:cs="Arial"/>
                <w:sz w:val="22"/>
                <w:szCs w:val="22"/>
              </w:rPr>
              <w:t>4.4</w:t>
            </w:r>
          </w:p>
        </w:tc>
        <w:tc>
          <w:tcPr>
            <w:tcW w:w="6184" w:type="dxa"/>
            <w:tcBorders>
              <w:top w:val="nil"/>
            </w:tcBorders>
          </w:tcPr>
          <w:p w:rsidR="003817BE" w:rsidRDefault="003817BE" w:rsidP="00596CC4">
            <w:pPr>
              <w:rPr>
                <w:rFonts w:cs="Arial"/>
                <w:sz w:val="22"/>
                <w:szCs w:val="22"/>
              </w:rPr>
            </w:pPr>
            <w:r>
              <w:rPr>
                <w:rFonts w:cs="Arial"/>
                <w:sz w:val="22"/>
                <w:szCs w:val="22"/>
              </w:rPr>
              <w:t>Funding Opportunity</w:t>
            </w:r>
          </w:p>
          <w:p w:rsidR="00095444" w:rsidRDefault="00095444" w:rsidP="00596CC4">
            <w:pPr>
              <w:rPr>
                <w:rFonts w:cs="Arial"/>
                <w:sz w:val="22"/>
                <w:szCs w:val="22"/>
              </w:rPr>
            </w:pPr>
            <w:r>
              <w:rPr>
                <w:rFonts w:cs="Arial"/>
                <w:sz w:val="22"/>
                <w:szCs w:val="22"/>
              </w:rPr>
              <w:t>-re:  potential PHAC funding – can submit a letter of intent.  How does Core Indicators fit with this?</w:t>
            </w:r>
          </w:p>
        </w:tc>
        <w:tc>
          <w:tcPr>
            <w:tcW w:w="2006" w:type="dxa"/>
            <w:tcBorders>
              <w:top w:val="nil"/>
            </w:tcBorders>
          </w:tcPr>
          <w:p w:rsidR="003817BE" w:rsidRDefault="00095444">
            <w:pPr>
              <w:rPr>
                <w:rFonts w:cs="Arial"/>
                <w:sz w:val="22"/>
                <w:szCs w:val="22"/>
              </w:rPr>
            </w:pPr>
            <w:r>
              <w:rPr>
                <w:rFonts w:cs="Arial"/>
                <w:sz w:val="22"/>
                <w:szCs w:val="22"/>
              </w:rPr>
              <w:t>All to review PHAC document</w:t>
            </w:r>
          </w:p>
        </w:tc>
      </w:tr>
      <w:tr w:rsidR="003817BE" w:rsidRPr="00406C2D" w:rsidTr="008D2FDD">
        <w:trPr>
          <w:jc w:val="center"/>
        </w:trPr>
        <w:tc>
          <w:tcPr>
            <w:tcW w:w="1223" w:type="dxa"/>
          </w:tcPr>
          <w:p w:rsidR="003817BE" w:rsidRPr="00406C2D" w:rsidRDefault="003817BE" w:rsidP="00406C2D">
            <w:pPr>
              <w:jc w:val="right"/>
              <w:rPr>
                <w:rFonts w:cs="Arial"/>
                <w:sz w:val="22"/>
                <w:szCs w:val="22"/>
              </w:rPr>
            </w:pPr>
            <w:r w:rsidRPr="00406C2D">
              <w:rPr>
                <w:rFonts w:cs="Arial"/>
                <w:sz w:val="22"/>
                <w:szCs w:val="22"/>
              </w:rPr>
              <w:t>4.5</w:t>
            </w:r>
          </w:p>
        </w:tc>
        <w:tc>
          <w:tcPr>
            <w:tcW w:w="6184" w:type="dxa"/>
          </w:tcPr>
          <w:p w:rsidR="003817BE" w:rsidRDefault="003817BE" w:rsidP="00406C2D">
            <w:pPr>
              <w:rPr>
                <w:rFonts w:cs="Arial"/>
                <w:sz w:val="22"/>
                <w:szCs w:val="22"/>
              </w:rPr>
            </w:pPr>
            <w:r w:rsidRPr="00406C2D">
              <w:rPr>
                <w:rFonts w:cs="Arial"/>
                <w:sz w:val="22"/>
                <w:szCs w:val="22"/>
              </w:rPr>
              <w:t>Mental Health Core Indicators</w:t>
            </w:r>
          </w:p>
          <w:p w:rsidR="008D2FDD" w:rsidRDefault="008D2FDD" w:rsidP="00406C2D">
            <w:pPr>
              <w:rPr>
                <w:rFonts w:cs="Arial"/>
                <w:sz w:val="22"/>
                <w:szCs w:val="22"/>
              </w:rPr>
            </w:pPr>
            <w:r>
              <w:rPr>
                <w:rFonts w:cs="Arial"/>
                <w:sz w:val="22"/>
                <w:szCs w:val="22"/>
              </w:rPr>
              <w:t xml:space="preserve">-Natalie:  PHO recently released mental health </w:t>
            </w:r>
            <w:proofErr w:type="spellStart"/>
            <w:r>
              <w:rPr>
                <w:rFonts w:cs="Arial"/>
                <w:sz w:val="22"/>
                <w:szCs w:val="22"/>
              </w:rPr>
              <w:t>infographic</w:t>
            </w:r>
            <w:proofErr w:type="spellEnd"/>
            <w:r>
              <w:rPr>
                <w:rFonts w:cs="Arial"/>
                <w:sz w:val="22"/>
                <w:szCs w:val="22"/>
              </w:rPr>
              <w:t xml:space="preserve"> and </w:t>
            </w:r>
            <w:r w:rsidR="00095444">
              <w:rPr>
                <w:rFonts w:cs="Arial"/>
                <w:sz w:val="22"/>
                <w:szCs w:val="22"/>
              </w:rPr>
              <w:t xml:space="preserve">they </w:t>
            </w:r>
            <w:r>
              <w:rPr>
                <w:rFonts w:cs="Arial"/>
                <w:sz w:val="22"/>
                <w:szCs w:val="22"/>
              </w:rPr>
              <w:t>want to develop snapshots on mental health and mental illness indicators.  PHO can support with chairing and analysis.  Want Carol Paul, CAMH representatives and APHEO reps on group.  CIWG agrees to move ahead with this one.</w:t>
            </w:r>
          </w:p>
          <w:p w:rsidR="008D2FDD" w:rsidRPr="00406C2D" w:rsidRDefault="008D2FDD" w:rsidP="00406C2D">
            <w:pPr>
              <w:rPr>
                <w:rFonts w:cs="Arial"/>
                <w:sz w:val="22"/>
                <w:szCs w:val="22"/>
              </w:rPr>
            </w:pPr>
            <w:r>
              <w:rPr>
                <w:rFonts w:cs="Arial"/>
                <w:sz w:val="22"/>
                <w:szCs w:val="22"/>
              </w:rPr>
              <w:t>Coordinate with Child Health subgroup</w:t>
            </w:r>
          </w:p>
        </w:tc>
        <w:tc>
          <w:tcPr>
            <w:tcW w:w="2006" w:type="dxa"/>
          </w:tcPr>
          <w:p w:rsidR="003817BE" w:rsidRPr="00623AE6" w:rsidRDefault="008D2FDD" w:rsidP="008D2FDD">
            <w:pPr>
              <w:rPr>
                <w:rFonts w:cs="Arial"/>
                <w:sz w:val="22"/>
                <w:szCs w:val="22"/>
              </w:rPr>
            </w:pPr>
            <w:r>
              <w:rPr>
                <w:rFonts w:cs="Arial"/>
                <w:sz w:val="22"/>
                <w:szCs w:val="22"/>
              </w:rPr>
              <w:t>Natalie to inform Ruth of CIWG’s decision.</w:t>
            </w:r>
          </w:p>
        </w:tc>
      </w:tr>
      <w:tr w:rsidR="00686969" w:rsidRPr="00895A3B" w:rsidTr="00F31FF4">
        <w:trPr>
          <w:jc w:val="center"/>
        </w:trPr>
        <w:tc>
          <w:tcPr>
            <w:tcW w:w="1223" w:type="dxa"/>
          </w:tcPr>
          <w:p w:rsidR="00686969" w:rsidRDefault="00686969" w:rsidP="00686969">
            <w:pPr>
              <w:jc w:val="right"/>
              <w:rPr>
                <w:rFonts w:cs="Arial"/>
                <w:sz w:val="22"/>
                <w:szCs w:val="22"/>
              </w:rPr>
            </w:pPr>
            <w:r>
              <w:rPr>
                <w:rFonts w:cs="Arial"/>
                <w:sz w:val="22"/>
                <w:szCs w:val="22"/>
              </w:rPr>
              <w:t>4.6</w:t>
            </w:r>
          </w:p>
        </w:tc>
        <w:tc>
          <w:tcPr>
            <w:tcW w:w="6184" w:type="dxa"/>
          </w:tcPr>
          <w:p w:rsidR="00686969" w:rsidRDefault="00686969" w:rsidP="00F31FF4">
            <w:pPr>
              <w:rPr>
                <w:rFonts w:cs="Arial"/>
                <w:sz w:val="22"/>
                <w:szCs w:val="22"/>
              </w:rPr>
            </w:pPr>
            <w:r>
              <w:rPr>
                <w:rFonts w:cs="Arial"/>
                <w:sz w:val="22"/>
                <w:szCs w:val="22"/>
              </w:rPr>
              <w:t>APHEO Website - Sherri</w:t>
            </w:r>
          </w:p>
          <w:p w:rsidR="00686969" w:rsidRDefault="00686969" w:rsidP="00F31FF4">
            <w:pPr>
              <w:rPr>
                <w:rFonts w:cs="Arial"/>
                <w:sz w:val="22"/>
                <w:szCs w:val="22"/>
              </w:rPr>
            </w:pPr>
            <w:r>
              <w:rPr>
                <w:rFonts w:cs="Arial"/>
                <w:sz w:val="22"/>
                <w:szCs w:val="22"/>
              </w:rPr>
              <w:t>-</w:t>
            </w:r>
            <w:r w:rsidR="00FF4A40">
              <w:rPr>
                <w:rFonts w:cs="Arial"/>
                <w:sz w:val="22"/>
                <w:szCs w:val="22"/>
              </w:rPr>
              <w:t xml:space="preserve">APHEO </w:t>
            </w:r>
            <w:r>
              <w:rPr>
                <w:rFonts w:cs="Arial"/>
                <w:sz w:val="22"/>
                <w:szCs w:val="22"/>
              </w:rPr>
              <w:t>put out a RFP.  Two good candidates.  Interface will be easier to work with when we’re updating indicators.</w:t>
            </w:r>
          </w:p>
          <w:p w:rsidR="00686969" w:rsidRPr="00E86283" w:rsidRDefault="00686969" w:rsidP="00F31FF4">
            <w:pPr>
              <w:rPr>
                <w:rFonts w:cs="Arial"/>
                <w:sz w:val="22"/>
                <w:szCs w:val="22"/>
              </w:rPr>
            </w:pPr>
            <w:r>
              <w:rPr>
                <w:rFonts w:cs="Arial"/>
                <w:sz w:val="22"/>
                <w:szCs w:val="22"/>
              </w:rPr>
              <w:t>Consider versioning control as we move forward with this – requires a more organized ‘back end’ for storage of documents.</w:t>
            </w:r>
          </w:p>
        </w:tc>
        <w:tc>
          <w:tcPr>
            <w:tcW w:w="2006" w:type="dxa"/>
          </w:tcPr>
          <w:p w:rsidR="00686969" w:rsidRDefault="00686969" w:rsidP="00F31FF4">
            <w:pPr>
              <w:rPr>
                <w:rFonts w:cs="Arial"/>
                <w:sz w:val="22"/>
                <w:szCs w:val="22"/>
              </w:rPr>
            </w:pPr>
          </w:p>
        </w:tc>
      </w:tr>
      <w:tr w:rsidR="003817BE" w:rsidRPr="00623AE6" w:rsidTr="008D2FDD">
        <w:trPr>
          <w:jc w:val="center"/>
        </w:trPr>
        <w:tc>
          <w:tcPr>
            <w:tcW w:w="1223" w:type="dxa"/>
          </w:tcPr>
          <w:p w:rsidR="003817BE" w:rsidRPr="00623AE6" w:rsidRDefault="003817BE">
            <w:pPr>
              <w:rPr>
                <w:rFonts w:cs="Arial"/>
                <w:b/>
                <w:sz w:val="22"/>
                <w:szCs w:val="22"/>
              </w:rPr>
            </w:pPr>
            <w:r w:rsidRPr="00623AE6">
              <w:rPr>
                <w:rFonts w:cs="Arial"/>
                <w:b/>
                <w:sz w:val="22"/>
                <w:szCs w:val="22"/>
              </w:rPr>
              <w:t>5.0</w:t>
            </w:r>
          </w:p>
        </w:tc>
        <w:tc>
          <w:tcPr>
            <w:tcW w:w="6184" w:type="dxa"/>
          </w:tcPr>
          <w:p w:rsidR="003817BE" w:rsidRPr="00623AE6" w:rsidRDefault="003817BE" w:rsidP="00953D8E">
            <w:pPr>
              <w:rPr>
                <w:rFonts w:cs="Arial"/>
                <w:b/>
                <w:sz w:val="22"/>
                <w:szCs w:val="22"/>
              </w:rPr>
            </w:pPr>
            <w:r w:rsidRPr="00623AE6">
              <w:rPr>
                <w:rFonts w:cs="Arial"/>
                <w:b/>
                <w:sz w:val="22"/>
                <w:szCs w:val="22"/>
              </w:rPr>
              <w:t>Subgroup Reports</w:t>
            </w:r>
          </w:p>
        </w:tc>
        <w:tc>
          <w:tcPr>
            <w:tcW w:w="2006" w:type="dxa"/>
          </w:tcPr>
          <w:p w:rsidR="003817BE" w:rsidRPr="00623AE6" w:rsidRDefault="003817BE" w:rsidP="00953D8E">
            <w:pPr>
              <w:pStyle w:val="Heading3"/>
              <w:rPr>
                <w:rFonts w:cs="Arial"/>
                <w:sz w:val="22"/>
                <w:szCs w:val="22"/>
              </w:rPr>
            </w:pPr>
          </w:p>
        </w:tc>
      </w:tr>
      <w:tr w:rsidR="003817BE" w:rsidRPr="00623AE6" w:rsidTr="008D2FDD">
        <w:trPr>
          <w:jc w:val="center"/>
        </w:trPr>
        <w:tc>
          <w:tcPr>
            <w:tcW w:w="1223" w:type="dxa"/>
          </w:tcPr>
          <w:p w:rsidR="003817BE" w:rsidRPr="00623AE6" w:rsidRDefault="003817BE" w:rsidP="001749A9">
            <w:pPr>
              <w:jc w:val="right"/>
              <w:rPr>
                <w:rFonts w:cs="Arial"/>
                <w:sz w:val="22"/>
                <w:szCs w:val="22"/>
              </w:rPr>
            </w:pPr>
            <w:r w:rsidRPr="00623AE6">
              <w:rPr>
                <w:rFonts w:cs="Arial"/>
                <w:sz w:val="22"/>
                <w:szCs w:val="22"/>
              </w:rPr>
              <w:t>5.1</w:t>
            </w:r>
          </w:p>
        </w:tc>
        <w:tc>
          <w:tcPr>
            <w:tcW w:w="6184" w:type="dxa"/>
          </w:tcPr>
          <w:p w:rsidR="003817BE" w:rsidRPr="00623AE6" w:rsidRDefault="003817BE" w:rsidP="001749A9">
            <w:pPr>
              <w:rPr>
                <w:rFonts w:cs="Arial"/>
                <w:sz w:val="22"/>
                <w:szCs w:val="22"/>
              </w:rPr>
            </w:pPr>
            <w:r w:rsidRPr="00623AE6">
              <w:rPr>
                <w:rFonts w:cs="Arial"/>
                <w:sz w:val="22"/>
                <w:szCs w:val="22"/>
              </w:rPr>
              <w:t>Reproductive Health</w:t>
            </w:r>
            <w:r w:rsidR="00FF4A40">
              <w:rPr>
                <w:rFonts w:cs="Arial"/>
                <w:sz w:val="22"/>
                <w:szCs w:val="22"/>
              </w:rPr>
              <w:t xml:space="preserve"> - defer</w:t>
            </w:r>
            <w:bookmarkStart w:id="1" w:name="_GoBack"/>
            <w:bookmarkEnd w:id="1"/>
          </w:p>
        </w:tc>
        <w:tc>
          <w:tcPr>
            <w:tcW w:w="2006" w:type="dxa"/>
          </w:tcPr>
          <w:p w:rsidR="003817BE" w:rsidRPr="00623AE6" w:rsidRDefault="003817BE" w:rsidP="001749A9">
            <w:pPr>
              <w:pStyle w:val="Heading3"/>
              <w:rPr>
                <w:rFonts w:cs="Arial"/>
                <w:sz w:val="22"/>
                <w:szCs w:val="22"/>
              </w:rPr>
            </w:pPr>
            <w:r w:rsidRPr="00623AE6">
              <w:rPr>
                <w:rFonts w:cs="Arial"/>
                <w:sz w:val="22"/>
                <w:szCs w:val="22"/>
              </w:rPr>
              <w:t>Mary-Anne</w:t>
            </w:r>
          </w:p>
        </w:tc>
      </w:tr>
      <w:tr w:rsidR="003817BE" w:rsidRPr="00623AE6" w:rsidTr="008D2FDD">
        <w:trPr>
          <w:trHeight w:val="278"/>
          <w:jc w:val="center"/>
        </w:trPr>
        <w:tc>
          <w:tcPr>
            <w:tcW w:w="1223" w:type="dxa"/>
          </w:tcPr>
          <w:p w:rsidR="003817BE" w:rsidRPr="00623AE6" w:rsidRDefault="003817BE" w:rsidP="00EE04AC">
            <w:pPr>
              <w:jc w:val="right"/>
              <w:rPr>
                <w:rFonts w:cs="Arial"/>
                <w:sz w:val="22"/>
                <w:szCs w:val="22"/>
              </w:rPr>
            </w:pPr>
            <w:r w:rsidRPr="00623AE6">
              <w:rPr>
                <w:rFonts w:cs="Arial"/>
                <w:sz w:val="22"/>
                <w:szCs w:val="22"/>
              </w:rPr>
              <w:t>5.2</w:t>
            </w:r>
          </w:p>
        </w:tc>
        <w:tc>
          <w:tcPr>
            <w:tcW w:w="6184" w:type="dxa"/>
          </w:tcPr>
          <w:p w:rsidR="003817BE" w:rsidRDefault="003817BE" w:rsidP="00E03ED6">
            <w:pPr>
              <w:rPr>
                <w:rFonts w:cs="Arial"/>
                <w:sz w:val="22"/>
                <w:szCs w:val="22"/>
              </w:rPr>
            </w:pPr>
            <w:r w:rsidRPr="00623AE6">
              <w:rPr>
                <w:rFonts w:cs="Arial"/>
                <w:sz w:val="22"/>
                <w:szCs w:val="22"/>
              </w:rPr>
              <w:t>Social Determinants of Health</w:t>
            </w:r>
          </w:p>
          <w:p w:rsidR="00095444" w:rsidRDefault="00095444" w:rsidP="00E03ED6">
            <w:pPr>
              <w:rPr>
                <w:rFonts w:cs="Arial"/>
                <w:sz w:val="22"/>
                <w:szCs w:val="22"/>
              </w:rPr>
            </w:pPr>
            <w:r>
              <w:rPr>
                <w:rFonts w:cs="Arial"/>
                <w:sz w:val="22"/>
                <w:szCs w:val="22"/>
              </w:rPr>
              <w:t>-</w:t>
            </w:r>
            <w:proofErr w:type="gramStart"/>
            <w:r>
              <w:rPr>
                <w:rFonts w:cs="Arial"/>
                <w:sz w:val="22"/>
                <w:szCs w:val="22"/>
              </w:rPr>
              <w:t>feasibility</w:t>
            </w:r>
            <w:proofErr w:type="gramEnd"/>
            <w:r>
              <w:rPr>
                <w:rFonts w:cs="Arial"/>
                <w:sz w:val="22"/>
                <w:szCs w:val="22"/>
              </w:rPr>
              <w:t xml:space="preserve"> of using voter turnout as an indicator – Cam is looking into this.</w:t>
            </w:r>
          </w:p>
          <w:p w:rsidR="00095444" w:rsidRPr="00623AE6" w:rsidRDefault="00095444" w:rsidP="00095444">
            <w:pPr>
              <w:rPr>
                <w:rFonts w:cs="Arial"/>
                <w:b/>
                <w:sz w:val="22"/>
                <w:szCs w:val="22"/>
              </w:rPr>
            </w:pPr>
            <w:r>
              <w:rPr>
                <w:rFonts w:cs="Arial"/>
                <w:sz w:val="22"/>
                <w:szCs w:val="22"/>
              </w:rPr>
              <w:lastRenderedPageBreak/>
              <w:t>KFLA will be mapping voter turnout against income</w:t>
            </w:r>
            <w:r w:rsidR="00686969">
              <w:rPr>
                <w:rFonts w:cs="Arial"/>
                <w:sz w:val="22"/>
                <w:szCs w:val="22"/>
              </w:rPr>
              <w:t xml:space="preserve"> and Suzanne will keep the group updated.</w:t>
            </w:r>
          </w:p>
        </w:tc>
        <w:tc>
          <w:tcPr>
            <w:tcW w:w="2006" w:type="dxa"/>
          </w:tcPr>
          <w:p w:rsidR="003817BE" w:rsidRPr="00623AE6" w:rsidRDefault="003817BE" w:rsidP="00953D8E">
            <w:pPr>
              <w:pStyle w:val="Heading3"/>
              <w:rPr>
                <w:rFonts w:cs="Arial"/>
                <w:sz w:val="22"/>
                <w:szCs w:val="22"/>
              </w:rPr>
            </w:pPr>
            <w:r>
              <w:rPr>
                <w:rFonts w:cs="Arial"/>
                <w:sz w:val="22"/>
                <w:szCs w:val="22"/>
              </w:rPr>
              <w:lastRenderedPageBreak/>
              <w:t>Virginia</w:t>
            </w:r>
          </w:p>
        </w:tc>
      </w:tr>
      <w:tr w:rsidR="003817BE" w:rsidRPr="00623AE6" w:rsidTr="008D2FDD">
        <w:trPr>
          <w:jc w:val="center"/>
        </w:trPr>
        <w:tc>
          <w:tcPr>
            <w:tcW w:w="1223" w:type="dxa"/>
          </w:tcPr>
          <w:p w:rsidR="003817BE" w:rsidRPr="00623AE6" w:rsidRDefault="003817BE" w:rsidP="00EE04AC">
            <w:pPr>
              <w:jc w:val="right"/>
              <w:rPr>
                <w:rFonts w:cs="Arial"/>
                <w:sz w:val="22"/>
                <w:szCs w:val="22"/>
              </w:rPr>
            </w:pPr>
            <w:r w:rsidRPr="00623AE6">
              <w:rPr>
                <w:rFonts w:cs="Arial"/>
                <w:sz w:val="22"/>
                <w:szCs w:val="22"/>
              </w:rPr>
              <w:lastRenderedPageBreak/>
              <w:t>5.3</w:t>
            </w:r>
          </w:p>
        </w:tc>
        <w:tc>
          <w:tcPr>
            <w:tcW w:w="6184" w:type="dxa"/>
          </w:tcPr>
          <w:p w:rsidR="003817BE" w:rsidRDefault="003817BE" w:rsidP="00953D8E">
            <w:pPr>
              <w:rPr>
                <w:rFonts w:cs="Arial"/>
                <w:sz w:val="22"/>
                <w:szCs w:val="22"/>
              </w:rPr>
            </w:pPr>
            <w:r w:rsidRPr="00623AE6">
              <w:rPr>
                <w:rFonts w:cs="Arial"/>
                <w:sz w:val="22"/>
                <w:szCs w:val="22"/>
              </w:rPr>
              <w:t>Injury and Substance Misuse</w:t>
            </w:r>
          </w:p>
          <w:p w:rsidR="00095444" w:rsidRPr="00623AE6" w:rsidRDefault="00095444" w:rsidP="00953D8E">
            <w:pPr>
              <w:rPr>
                <w:rFonts w:cs="Arial"/>
                <w:sz w:val="22"/>
                <w:szCs w:val="22"/>
              </w:rPr>
            </w:pPr>
            <w:r>
              <w:rPr>
                <w:rFonts w:cs="Arial"/>
                <w:sz w:val="22"/>
                <w:szCs w:val="22"/>
              </w:rPr>
              <w:t>-putting together a draft indicator on Alcohol attributable mortality and hospitalization indicator</w:t>
            </w:r>
          </w:p>
        </w:tc>
        <w:tc>
          <w:tcPr>
            <w:tcW w:w="2006" w:type="dxa"/>
          </w:tcPr>
          <w:p w:rsidR="003817BE" w:rsidRPr="00623AE6" w:rsidRDefault="003817BE" w:rsidP="00953D8E">
            <w:pPr>
              <w:pStyle w:val="Heading3"/>
              <w:rPr>
                <w:rFonts w:cs="Arial"/>
                <w:sz w:val="22"/>
                <w:szCs w:val="22"/>
              </w:rPr>
            </w:pPr>
            <w:r w:rsidRPr="00623AE6">
              <w:rPr>
                <w:rFonts w:cs="Arial"/>
                <w:sz w:val="22"/>
                <w:szCs w:val="22"/>
              </w:rPr>
              <w:t>Suzanne</w:t>
            </w:r>
            <w:r w:rsidR="00095444">
              <w:rPr>
                <w:rFonts w:cs="Arial"/>
                <w:sz w:val="22"/>
                <w:szCs w:val="22"/>
              </w:rPr>
              <w:t>, Brenda to work on a mini group</w:t>
            </w:r>
          </w:p>
        </w:tc>
      </w:tr>
      <w:tr w:rsidR="003817BE" w:rsidRPr="00623AE6" w:rsidTr="008D2FDD">
        <w:trPr>
          <w:jc w:val="center"/>
        </w:trPr>
        <w:tc>
          <w:tcPr>
            <w:tcW w:w="1223" w:type="dxa"/>
          </w:tcPr>
          <w:p w:rsidR="003817BE" w:rsidRPr="00623AE6" w:rsidRDefault="003817BE" w:rsidP="00EE04AC">
            <w:pPr>
              <w:jc w:val="right"/>
              <w:rPr>
                <w:rFonts w:cs="Arial"/>
                <w:sz w:val="22"/>
                <w:szCs w:val="22"/>
              </w:rPr>
            </w:pPr>
            <w:r w:rsidRPr="00623AE6">
              <w:rPr>
                <w:rFonts w:cs="Arial"/>
                <w:sz w:val="22"/>
                <w:szCs w:val="22"/>
              </w:rPr>
              <w:t>5.4</w:t>
            </w:r>
          </w:p>
        </w:tc>
        <w:tc>
          <w:tcPr>
            <w:tcW w:w="6184" w:type="dxa"/>
          </w:tcPr>
          <w:p w:rsidR="003817BE" w:rsidRDefault="003817BE" w:rsidP="00953D8E">
            <w:pPr>
              <w:rPr>
                <w:rFonts w:cs="Arial"/>
                <w:sz w:val="22"/>
                <w:szCs w:val="22"/>
              </w:rPr>
            </w:pPr>
            <w:r w:rsidRPr="00623AE6">
              <w:rPr>
                <w:rFonts w:cs="Arial"/>
                <w:sz w:val="22"/>
                <w:szCs w:val="22"/>
              </w:rPr>
              <w:t>Healthy Eating and Active Living</w:t>
            </w:r>
          </w:p>
          <w:p w:rsidR="00095444" w:rsidRPr="00623AE6" w:rsidRDefault="00095444" w:rsidP="00953D8E">
            <w:pPr>
              <w:rPr>
                <w:rFonts w:cs="Arial"/>
                <w:sz w:val="22"/>
                <w:szCs w:val="22"/>
              </w:rPr>
            </w:pPr>
            <w:r>
              <w:rPr>
                <w:rFonts w:cs="Arial"/>
                <w:sz w:val="22"/>
                <w:szCs w:val="22"/>
              </w:rPr>
              <w:t>-completed all action items. Subgroup can be disbanded.</w:t>
            </w:r>
          </w:p>
        </w:tc>
        <w:tc>
          <w:tcPr>
            <w:tcW w:w="2006" w:type="dxa"/>
          </w:tcPr>
          <w:p w:rsidR="003817BE" w:rsidRPr="00623AE6" w:rsidRDefault="003817BE" w:rsidP="00953D8E">
            <w:pPr>
              <w:pStyle w:val="Heading3"/>
              <w:rPr>
                <w:rFonts w:cs="Arial"/>
                <w:sz w:val="22"/>
                <w:szCs w:val="22"/>
              </w:rPr>
            </w:pPr>
            <w:r>
              <w:rPr>
                <w:rFonts w:cs="Arial"/>
                <w:sz w:val="22"/>
                <w:szCs w:val="22"/>
              </w:rPr>
              <w:t>Suzanne</w:t>
            </w:r>
          </w:p>
        </w:tc>
      </w:tr>
      <w:tr w:rsidR="003817BE" w:rsidRPr="00895A3B" w:rsidTr="008D2FDD">
        <w:trPr>
          <w:jc w:val="center"/>
        </w:trPr>
        <w:tc>
          <w:tcPr>
            <w:tcW w:w="1223" w:type="dxa"/>
          </w:tcPr>
          <w:p w:rsidR="003817BE" w:rsidRPr="00623AE6" w:rsidRDefault="003817BE" w:rsidP="00EE04AC">
            <w:pPr>
              <w:jc w:val="right"/>
              <w:rPr>
                <w:rFonts w:cs="Arial"/>
                <w:sz w:val="22"/>
                <w:szCs w:val="22"/>
              </w:rPr>
            </w:pPr>
            <w:r w:rsidRPr="00623AE6">
              <w:rPr>
                <w:rFonts w:cs="Arial"/>
                <w:sz w:val="22"/>
                <w:szCs w:val="22"/>
              </w:rPr>
              <w:t>5.5</w:t>
            </w:r>
          </w:p>
        </w:tc>
        <w:tc>
          <w:tcPr>
            <w:tcW w:w="6184" w:type="dxa"/>
          </w:tcPr>
          <w:p w:rsidR="003817BE" w:rsidRDefault="003817BE" w:rsidP="00953D8E">
            <w:pPr>
              <w:rPr>
                <w:rFonts w:cs="Arial"/>
                <w:sz w:val="22"/>
                <w:szCs w:val="22"/>
              </w:rPr>
            </w:pPr>
            <w:r w:rsidRPr="00623AE6">
              <w:rPr>
                <w:rFonts w:cs="Arial"/>
                <w:sz w:val="22"/>
                <w:szCs w:val="22"/>
              </w:rPr>
              <w:t>The Built Environment</w:t>
            </w:r>
          </w:p>
          <w:p w:rsidR="00095444" w:rsidRPr="00623AE6" w:rsidRDefault="00095444" w:rsidP="00953D8E">
            <w:pPr>
              <w:rPr>
                <w:rFonts w:cs="Arial"/>
                <w:sz w:val="22"/>
                <w:szCs w:val="22"/>
              </w:rPr>
            </w:pPr>
            <w:r>
              <w:rPr>
                <w:rFonts w:cs="Arial"/>
                <w:sz w:val="22"/>
                <w:szCs w:val="22"/>
              </w:rPr>
              <w:t>-still working on completing a couple indicators related to traffic.  Next area to work on is the food environment.  Have conducted a literature review.  Also in the process of planning something for the fall workshop.</w:t>
            </w:r>
          </w:p>
        </w:tc>
        <w:tc>
          <w:tcPr>
            <w:tcW w:w="2006" w:type="dxa"/>
          </w:tcPr>
          <w:p w:rsidR="003817BE" w:rsidRPr="00623AE6" w:rsidRDefault="003817BE" w:rsidP="00953D8E">
            <w:pPr>
              <w:pStyle w:val="Heading3"/>
              <w:rPr>
                <w:rFonts w:cs="Arial"/>
                <w:sz w:val="22"/>
                <w:szCs w:val="22"/>
              </w:rPr>
            </w:pPr>
            <w:r w:rsidRPr="00623AE6">
              <w:rPr>
                <w:rFonts w:cs="Arial"/>
                <w:sz w:val="22"/>
                <w:szCs w:val="22"/>
              </w:rPr>
              <w:t>Ahalya</w:t>
            </w:r>
          </w:p>
        </w:tc>
      </w:tr>
      <w:tr w:rsidR="00095444" w:rsidRPr="00895A3B" w:rsidTr="008D2FDD">
        <w:trPr>
          <w:jc w:val="center"/>
        </w:trPr>
        <w:tc>
          <w:tcPr>
            <w:tcW w:w="1223" w:type="dxa"/>
          </w:tcPr>
          <w:p w:rsidR="00095444" w:rsidRPr="00623AE6" w:rsidRDefault="00095444" w:rsidP="00EE04AC">
            <w:pPr>
              <w:jc w:val="right"/>
              <w:rPr>
                <w:rFonts w:cs="Arial"/>
                <w:sz w:val="22"/>
                <w:szCs w:val="22"/>
              </w:rPr>
            </w:pPr>
            <w:r>
              <w:rPr>
                <w:rFonts w:cs="Arial"/>
                <w:sz w:val="22"/>
                <w:szCs w:val="22"/>
              </w:rPr>
              <w:t>5.6</w:t>
            </w:r>
          </w:p>
        </w:tc>
        <w:tc>
          <w:tcPr>
            <w:tcW w:w="6184" w:type="dxa"/>
          </w:tcPr>
          <w:p w:rsidR="00095444" w:rsidRDefault="00095444" w:rsidP="00953D8E">
            <w:pPr>
              <w:rPr>
                <w:rFonts w:cs="Arial"/>
                <w:sz w:val="22"/>
                <w:szCs w:val="22"/>
              </w:rPr>
            </w:pPr>
            <w:r>
              <w:rPr>
                <w:rFonts w:cs="Arial"/>
                <w:sz w:val="22"/>
                <w:szCs w:val="22"/>
              </w:rPr>
              <w:t>Preventable Mortality</w:t>
            </w:r>
          </w:p>
          <w:p w:rsidR="00095444" w:rsidRPr="00623AE6" w:rsidRDefault="00095444" w:rsidP="00953D8E">
            <w:pPr>
              <w:rPr>
                <w:rFonts w:cs="Arial"/>
                <w:sz w:val="22"/>
                <w:szCs w:val="22"/>
              </w:rPr>
            </w:pPr>
            <w:r>
              <w:rPr>
                <w:rFonts w:cs="Arial"/>
                <w:sz w:val="22"/>
                <w:szCs w:val="22"/>
              </w:rPr>
              <w:t>-indicator is drafted, syntax created.  Sherri will create indicator to go on the site and will put out a call for reviewers shortly.</w:t>
            </w:r>
          </w:p>
        </w:tc>
        <w:tc>
          <w:tcPr>
            <w:tcW w:w="2006" w:type="dxa"/>
          </w:tcPr>
          <w:p w:rsidR="00095444" w:rsidRPr="00623AE6" w:rsidRDefault="00095444" w:rsidP="00953D8E">
            <w:pPr>
              <w:pStyle w:val="Heading3"/>
              <w:rPr>
                <w:rFonts w:cs="Arial"/>
                <w:sz w:val="22"/>
                <w:szCs w:val="22"/>
              </w:rPr>
            </w:pPr>
          </w:p>
        </w:tc>
      </w:tr>
      <w:tr w:rsidR="003817BE" w:rsidRPr="00895A3B" w:rsidTr="008D2FDD">
        <w:trPr>
          <w:jc w:val="center"/>
        </w:trPr>
        <w:tc>
          <w:tcPr>
            <w:tcW w:w="1223" w:type="dxa"/>
          </w:tcPr>
          <w:p w:rsidR="003817BE" w:rsidRPr="00E03ED6" w:rsidRDefault="003817BE">
            <w:pPr>
              <w:rPr>
                <w:rFonts w:cs="Arial"/>
                <w:b/>
                <w:sz w:val="22"/>
                <w:szCs w:val="22"/>
              </w:rPr>
            </w:pPr>
            <w:r>
              <w:rPr>
                <w:rFonts w:cs="Arial"/>
                <w:b/>
                <w:sz w:val="22"/>
                <w:szCs w:val="22"/>
              </w:rPr>
              <w:t>6.0</w:t>
            </w:r>
          </w:p>
        </w:tc>
        <w:tc>
          <w:tcPr>
            <w:tcW w:w="6184" w:type="dxa"/>
          </w:tcPr>
          <w:p w:rsidR="003817BE" w:rsidRPr="00E03ED6" w:rsidRDefault="003817BE">
            <w:pPr>
              <w:rPr>
                <w:rFonts w:cs="Arial"/>
                <w:b/>
                <w:sz w:val="22"/>
                <w:szCs w:val="22"/>
              </w:rPr>
            </w:pPr>
            <w:r>
              <w:rPr>
                <w:rFonts w:cs="Arial"/>
                <w:b/>
                <w:sz w:val="22"/>
                <w:szCs w:val="22"/>
              </w:rPr>
              <w:t>Standing Items</w:t>
            </w:r>
          </w:p>
        </w:tc>
        <w:tc>
          <w:tcPr>
            <w:tcW w:w="2006" w:type="dxa"/>
          </w:tcPr>
          <w:p w:rsidR="003817BE" w:rsidRPr="00E03ED6" w:rsidRDefault="003817BE">
            <w:pPr>
              <w:rPr>
                <w:rFonts w:cs="Arial"/>
                <w:sz w:val="22"/>
                <w:szCs w:val="22"/>
              </w:rPr>
            </w:pPr>
          </w:p>
        </w:tc>
      </w:tr>
      <w:tr w:rsidR="003817BE" w:rsidRPr="00895A3B" w:rsidTr="008D2FDD">
        <w:trPr>
          <w:jc w:val="center"/>
        </w:trPr>
        <w:tc>
          <w:tcPr>
            <w:tcW w:w="1223" w:type="dxa"/>
          </w:tcPr>
          <w:p w:rsidR="003817BE" w:rsidRPr="003B644E" w:rsidRDefault="003817BE" w:rsidP="003B644E">
            <w:pPr>
              <w:jc w:val="right"/>
              <w:rPr>
                <w:rFonts w:cs="Arial"/>
                <w:sz w:val="22"/>
                <w:szCs w:val="22"/>
              </w:rPr>
            </w:pPr>
            <w:r>
              <w:rPr>
                <w:rFonts w:cs="Arial"/>
                <w:sz w:val="22"/>
                <w:szCs w:val="22"/>
              </w:rPr>
              <w:t>6.</w:t>
            </w:r>
            <w:r w:rsidR="008D2FDD">
              <w:rPr>
                <w:rFonts w:cs="Arial"/>
                <w:sz w:val="22"/>
                <w:szCs w:val="22"/>
              </w:rPr>
              <w:t>1</w:t>
            </w:r>
          </w:p>
        </w:tc>
        <w:tc>
          <w:tcPr>
            <w:tcW w:w="6184" w:type="dxa"/>
          </w:tcPr>
          <w:p w:rsidR="003817BE" w:rsidRDefault="003817BE">
            <w:pPr>
              <w:rPr>
                <w:rFonts w:cs="Arial"/>
                <w:sz w:val="22"/>
                <w:szCs w:val="22"/>
              </w:rPr>
            </w:pPr>
            <w:r w:rsidRPr="00E86283">
              <w:rPr>
                <w:rFonts w:cs="Arial"/>
                <w:sz w:val="22"/>
                <w:szCs w:val="22"/>
              </w:rPr>
              <w:t>Operational Plan</w:t>
            </w:r>
          </w:p>
          <w:p w:rsidR="00686969" w:rsidRPr="00E86283" w:rsidRDefault="00686969">
            <w:pPr>
              <w:rPr>
                <w:rFonts w:cs="Arial"/>
                <w:sz w:val="22"/>
                <w:szCs w:val="22"/>
              </w:rPr>
            </w:pPr>
            <w:r>
              <w:rPr>
                <w:rFonts w:cs="Arial"/>
                <w:sz w:val="22"/>
                <w:szCs w:val="22"/>
              </w:rPr>
              <w:t>-current op plan needs updating (from 2013). We need new actions and deliverables.</w:t>
            </w:r>
          </w:p>
        </w:tc>
        <w:tc>
          <w:tcPr>
            <w:tcW w:w="2006" w:type="dxa"/>
          </w:tcPr>
          <w:p w:rsidR="003817BE" w:rsidRDefault="00686969">
            <w:pPr>
              <w:rPr>
                <w:rFonts w:cs="Arial"/>
                <w:sz w:val="22"/>
                <w:szCs w:val="22"/>
              </w:rPr>
            </w:pPr>
            <w:r>
              <w:rPr>
                <w:rFonts w:cs="Arial"/>
                <w:sz w:val="22"/>
                <w:szCs w:val="22"/>
              </w:rPr>
              <w:t>Suzanne to update and share with the group.</w:t>
            </w:r>
          </w:p>
          <w:p w:rsidR="00686969" w:rsidRPr="00E03ED6" w:rsidRDefault="00686969">
            <w:pPr>
              <w:rPr>
                <w:rFonts w:cs="Arial"/>
                <w:sz w:val="22"/>
                <w:szCs w:val="22"/>
              </w:rPr>
            </w:pPr>
            <w:r>
              <w:rPr>
                <w:rFonts w:cs="Arial"/>
                <w:sz w:val="22"/>
                <w:szCs w:val="22"/>
              </w:rPr>
              <w:t>Group consider new areas for CIWG</w:t>
            </w:r>
          </w:p>
        </w:tc>
      </w:tr>
      <w:bookmarkEnd w:id="0"/>
      <w:tr w:rsidR="003817BE" w:rsidRPr="00895A3B" w:rsidTr="008D2FDD">
        <w:trPr>
          <w:jc w:val="center"/>
        </w:trPr>
        <w:tc>
          <w:tcPr>
            <w:tcW w:w="1223" w:type="dxa"/>
          </w:tcPr>
          <w:p w:rsidR="003817BE" w:rsidRPr="00E03ED6" w:rsidRDefault="003817BE">
            <w:pPr>
              <w:rPr>
                <w:rFonts w:cs="Arial"/>
                <w:b/>
                <w:sz w:val="22"/>
                <w:szCs w:val="22"/>
              </w:rPr>
            </w:pPr>
            <w:r>
              <w:rPr>
                <w:rFonts w:cs="Arial"/>
                <w:b/>
                <w:sz w:val="22"/>
                <w:szCs w:val="22"/>
              </w:rPr>
              <w:t>7</w:t>
            </w:r>
            <w:r w:rsidRPr="00E03ED6">
              <w:rPr>
                <w:rFonts w:cs="Arial"/>
                <w:b/>
                <w:sz w:val="22"/>
                <w:szCs w:val="22"/>
              </w:rPr>
              <w:t>.0</w:t>
            </w:r>
          </w:p>
        </w:tc>
        <w:tc>
          <w:tcPr>
            <w:tcW w:w="6184" w:type="dxa"/>
          </w:tcPr>
          <w:p w:rsidR="003817BE" w:rsidRPr="00E03ED6" w:rsidRDefault="003817BE">
            <w:pPr>
              <w:rPr>
                <w:rFonts w:cs="Arial"/>
                <w:sz w:val="22"/>
                <w:szCs w:val="22"/>
              </w:rPr>
            </w:pPr>
            <w:r>
              <w:rPr>
                <w:rFonts w:cs="Arial"/>
                <w:b/>
                <w:sz w:val="22"/>
                <w:szCs w:val="22"/>
              </w:rPr>
              <w:t xml:space="preserve">Date and Time </w:t>
            </w:r>
            <w:r w:rsidRPr="00E03ED6">
              <w:rPr>
                <w:rFonts w:cs="Arial"/>
                <w:b/>
                <w:sz w:val="22"/>
                <w:szCs w:val="22"/>
              </w:rPr>
              <w:t>of Next Meeting</w:t>
            </w:r>
            <w:r w:rsidRPr="00E03ED6">
              <w:rPr>
                <w:rFonts w:cs="Arial"/>
                <w:sz w:val="22"/>
                <w:szCs w:val="22"/>
              </w:rPr>
              <w:t xml:space="preserve"> </w:t>
            </w:r>
          </w:p>
          <w:p w:rsidR="003817BE" w:rsidRDefault="00686969">
            <w:pPr>
              <w:rPr>
                <w:rFonts w:cs="Arial"/>
                <w:sz w:val="22"/>
                <w:szCs w:val="22"/>
              </w:rPr>
            </w:pPr>
            <w:r>
              <w:rPr>
                <w:rFonts w:cs="Arial"/>
                <w:sz w:val="22"/>
                <w:szCs w:val="22"/>
              </w:rPr>
              <w:t>Consider a meeting at the Workshop, perhaps in the afternoon of September 16</w:t>
            </w:r>
            <w:r w:rsidRPr="00686969">
              <w:rPr>
                <w:rFonts w:cs="Arial"/>
                <w:sz w:val="22"/>
                <w:szCs w:val="22"/>
                <w:vertAlign w:val="superscript"/>
              </w:rPr>
              <w:t>th</w:t>
            </w:r>
            <w:r>
              <w:rPr>
                <w:rFonts w:cs="Arial"/>
                <w:sz w:val="22"/>
                <w:szCs w:val="22"/>
              </w:rPr>
              <w:t xml:space="preserve">. </w:t>
            </w:r>
          </w:p>
          <w:p w:rsidR="00FF4A40" w:rsidRPr="00E03ED6" w:rsidRDefault="00FF4A40" w:rsidP="00FF4A40">
            <w:pPr>
              <w:rPr>
                <w:rFonts w:cs="Arial"/>
                <w:sz w:val="22"/>
                <w:szCs w:val="22"/>
              </w:rPr>
            </w:pPr>
            <w:r>
              <w:rPr>
                <w:rFonts w:cs="Arial"/>
                <w:sz w:val="22"/>
                <w:szCs w:val="22"/>
              </w:rPr>
              <w:t>If won’t work on the 16</w:t>
            </w:r>
            <w:r w:rsidRPr="00FF4A40">
              <w:rPr>
                <w:rFonts w:cs="Arial"/>
                <w:sz w:val="22"/>
                <w:szCs w:val="22"/>
                <w:vertAlign w:val="superscript"/>
              </w:rPr>
              <w:t>th</w:t>
            </w:r>
            <w:r>
              <w:rPr>
                <w:rFonts w:cs="Arial"/>
                <w:sz w:val="22"/>
                <w:szCs w:val="22"/>
              </w:rPr>
              <w:t>, consider meeting at the beginning of September.</w:t>
            </w:r>
          </w:p>
        </w:tc>
        <w:tc>
          <w:tcPr>
            <w:tcW w:w="2006" w:type="dxa"/>
          </w:tcPr>
          <w:p w:rsidR="003817BE" w:rsidRPr="00E03ED6" w:rsidRDefault="003817BE" w:rsidP="00FF4A40">
            <w:pPr>
              <w:rPr>
                <w:rFonts w:cs="Arial"/>
                <w:sz w:val="22"/>
                <w:szCs w:val="22"/>
              </w:rPr>
            </w:pPr>
            <w:r>
              <w:rPr>
                <w:rFonts w:cs="Arial"/>
                <w:sz w:val="22"/>
                <w:szCs w:val="22"/>
              </w:rPr>
              <w:t>A</w:t>
            </w:r>
            <w:r w:rsidR="00FF4A40">
              <w:rPr>
                <w:rFonts w:cs="Arial"/>
                <w:sz w:val="22"/>
                <w:szCs w:val="22"/>
              </w:rPr>
              <w:t>halya to connect with Chuck re:  room availability. Suzanne to poll CIWG re:  attendance at the workshop.</w:t>
            </w:r>
          </w:p>
        </w:tc>
      </w:tr>
    </w:tbl>
    <w:p w:rsidR="000E7C51" w:rsidRPr="00895A3B" w:rsidRDefault="000E7C51" w:rsidP="00882A44"/>
    <w:sectPr w:rsidR="000E7C51" w:rsidRPr="00895A3B" w:rsidSect="009D5B17">
      <w:type w:val="continuous"/>
      <w:pgSz w:w="12240" w:h="15840"/>
      <w:pgMar w:top="873" w:right="1440" w:bottom="244" w:left="1440" w:header="709" w:footer="709"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17" w:rsidRDefault="00CA4F17">
      <w:r>
        <w:separator/>
      </w:r>
    </w:p>
  </w:endnote>
  <w:endnote w:type="continuationSeparator" w:id="0">
    <w:p w:rsidR="00CA4F17" w:rsidRDefault="00CA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17" w:rsidRDefault="00CA4F17">
      <w:r>
        <w:separator/>
      </w:r>
    </w:p>
  </w:footnote>
  <w:footnote w:type="continuationSeparator" w:id="0">
    <w:p w:rsidR="00CA4F17" w:rsidRDefault="00CA4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66"/>
    <w:multiLevelType w:val="singleLevel"/>
    <w:tmpl w:val="6BF2A3AC"/>
    <w:lvl w:ilvl="0">
      <w:start w:val="1"/>
      <w:numFmt w:val="lowerRoman"/>
      <w:lvlText w:val="%1)"/>
      <w:lvlJc w:val="left"/>
      <w:pPr>
        <w:tabs>
          <w:tab w:val="num" w:pos="720"/>
        </w:tabs>
        <w:ind w:left="720" w:hanging="720"/>
      </w:pPr>
      <w:rPr>
        <w:rFonts w:hint="default"/>
      </w:rPr>
    </w:lvl>
  </w:abstractNum>
  <w:abstractNum w:abstractNumId="1">
    <w:nsid w:val="01F079C6"/>
    <w:multiLevelType w:val="hybridMultilevel"/>
    <w:tmpl w:val="1B281240"/>
    <w:lvl w:ilvl="0" w:tplc="A1CC8D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3276"/>
    <w:multiLevelType w:val="multilevel"/>
    <w:tmpl w:val="34F4EB7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nsid w:val="0D3C7597"/>
    <w:multiLevelType w:val="hybridMultilevel"/>
    <w:tmpl w:val="24F2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036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7C33BE9"/>
    <w:multiLevelType w:val="hybridMultilevel"/>
    <w:tmpl w:val="828A910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26401E32"/>
    <w:multiLevelType w:val="hybridMultilevel"/>
    <w:tmpl w:val="34F4EB7E"/>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0C00501"/>
    <w:multiLevelType w:val="hybridMultilevel"/>
    <w:tmpl w:val="36FCB5C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nsid w:val="332C519C"/>
    <w:multiLevelType w:val="hybridMultilevel"/>
    <w:tmpl w:val="99001D4A"/>
    <w:lvl w:ilvl="0" w:tplc="B5D66D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A57F9"/>
    <w:multiLevelType w:val="multilevel"/>
    <w:tmpl w:val="4FC23110"/>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23251A"/>
    <w:multiLevelType w:val="hybridMultilevel"/>
    <w:tmpl w:val="3F62FACA"/>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429A616B"/>
    <w:multiLevelType w:val="multilevel"/>
    <w:tmpl w:val="0A06D83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A276DD"/>
    <w:multiLevelType w:val="hybridMultilevel"/>
    <w:tmpl w:val="BA3C1E66"/>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3027180"/>
    <w:multiLevelType w:val="singleLevel"/>
    <w:tmpl w:val="0C090015"/>
    <w:lvl w:ilvl="0">
      <w:start w:val="1"/>
      <w:numFmt w:val="upperLetter"/>
      <w:lvlText w:val="%1."/>
      <w:lvlJc w:val="left"/>
      <w:pPr>
        <w:tabs>
          <w:tab w:val="num" w:pos="360"/>
        </w:tabs>
        <w:ind w:left="360" w:hanging="360"/>
      </w:pPr>
      <w:rPr>
        <w:rFonts w:hint="default"/>
      </w:rPr>
    </w:lvl>
  </w:abstractNum>
  <w:abstractNum w:abstractNumId="14">
    <w:nsid w:val="44DB3C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D051039"/>
    <w:multiLevelType w:val="hybridMultilevel"/>
    <w:tmpl w:val="44DC291A"/>
    <w:lvl w:ilvl="0" w:tplc="B8006FF4">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B06CF"/>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F625A0"/>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C2953"/>
    <w:multiLevelType w:val="singleLevel"/>
    <w:tmpl w:val="0409000F"/>
    <w:lvl w:ilvl="0">
      <w:start w:val="1"/>
      <w:numFmt w:val="decimal"/>
      <w:lvlText w:val="%1."/>
      <w:lvlJc w:val="left"/>
      <w:pPr>
        <w:tabs>
          <w:tab w:val="num" w:pos="360"/>
        </w:tabs>
        <w:ind w:left="360" w:hanging="360"/>
      </w:pPr>
    </w:lvl>
  </w:abstractNum>
  <w:abstractNum w:abstractNumId="19">
    <w:nsid w:val="5CCB1FFE"/>
    <w:multiLevelType w:val="hybridMultilevel"/>
    <w:tmpl w:val="F236C472"/>
    <w:lvl w:ilvl="0" w:tplc="2FA2BAB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4B6E4C"/>
    <w:multiLevelType w:val="hybridMultilevel"/>
    <w:tmpl w:val="34D0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455824"/>
    <w:multiLevelType w:val="hybridMultilevel"/>
    <w:tmpl w:val="61F0B2A8"/>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4"/>
  </w:num>
  <w:num w:numId="3">
    <w:abstractNumId w:val="4"/>
  </w:num>
  <w:num w:numId="4">
    <w:abstractNumId w:val="0"/>
  </w:num>
  <w:num w:numId="5">
    <w:abstractNumId w:val="13"/>
  </w:num>
  <w:num w:numId="6">
    <w:abstractNumId w:val="11"/>
  </w:num>
  <w:num w:numId="7">
    <w:abstractNumId w:val="9"/>
  </w:num>
  <w:num w:numId="8">
    <w:abstractNumId w:val="6"/>
  </w:num>
  <w:num w:numId="9">
    <w:abstractNumId w:val="21"/>
  </w:num>
  <w:num w:numId="10">
    <w:abstractNumId w:val="10"/>
  </w:num>
  <w:num w:numId="11">
    <w:abstractNumId w:val="2"/>
  </w:num>
  <w:num w:numId="12">
    <w:abstractNumId w:val="17"/>
  </w:num>
  <w:num w:numId="13">
    <w:abstractNumId w:val="16"/>
  </w:num>
  <w:num w:numId="14">
    <w:abstractNumId w:val="12"/>
  </w:num>
  <w:num w:numId="15">
    <w:abstractNumId w:val="20"/>
  </w:num>
  <w:num w:numId="16">
    <w:abstractNumId w:val="19"/>
  </w:num>
  <w:num w:numId="17">
    <w:abstractNumId w:val="3"/>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B70"/>
    <w:rsid w:val="00012B99"/>
    <w:rsid w:val="0002132F"/>
    <w:rsid w:val="00022AA1"/>
    <w:rsid w:val="00022ACE"/>
    <w:rsid w:val="00027DE3"/>
    <w:rsid w:val="00040CBE"/>
    <w:rsid w:val="000431EF"/>
    <w:rsid w:val="000450B0"/>
    <w:rsid w:val="000509DF"/>
    <w:rsid w:val="000605F6"/>
    <w:rsid w:val="0006359C"/>
    <w:rsid w:val="00063D01"/>
    <w:rsid w:val="00073AE0"/>
    <w:rsid w:val="00076642"/>
    <w:rsid w:val="00081866"/>
    <w:rsid w:val="00085FEE"/>
    <w:rsid w:val="000874A2"/>
    <w:rsid w:val="0009004C"/>
    <w:rsid w:val="00092467"/>
    <w:rsid w:val="00093329"/>
    <w:rsid w:val="00094F34"/>
    <w:rsid w:val="00095444"/>
    <w:rsid w:val="0009572E"/>
    <w:rsid w:val="000B0317"/>
    <w:rsid w:val="000B0F8F"/>
    <w:rsid w:val="000B705C"/>
    <w:rsid w:val="000B72D5"/>
    <w:rsid w:val="000D037D"/>
    <w:rsid w:val="000D26FB"/>
    <w:rsid w:val="000D2A94"/>
    <w:rsid w:val="000D4E3A"/>
    <w:rsid w:val="000D7FE7"/>
    <w:rsid w:val="000E151C"/>
    <w:rsid w:val="000E3D41"/>
    <w:rsid w:val="000E5DBC"/>
    <w:rsid w:val="000E6D5B"/>
    <w:rsid w:val="000E7C51"/>
    <w:rsid w:val="000F3808"/>
    <w:rsid w:val="000F79EF"/>
    <w:rsid w:val="0010323E"/>
    <w:rsid w:val="001048D5"/>
    <w:rsid w:val="0011287A"/>
    <w:rsid w:val="001178D4"/>
    <w:rsid w:val="00120D89"/>
    <w:rsid w:val="00122D68"/>
    <w:rsid w:val="00131BDD"/>
    <w:rsid w:val="00132174"/>
    <w:rsid w:val="00132C43"/>
    <w:rsid w:val="00136A0C"/>
    <w:rsid w:val="00136DA5"/>
    <w:rsid w:val="00137EC1"/>
    <w:rsid w:val="001425AD"/>
    <w:rsid w:val="0014708A"/>
    <w:rsid w:val="001511D5"/>
    <w:rsid w:val="0015268A"/>
    <w:rsid w:val="00162C8D"/>
    <w:rsid w:val="001638D6"/>
    <w:rsid w:val="001657FC"/>
    <w:rsid w:val="00165AE3"/>
    <w:rsid w:val="00166222"/>
    <w:rsid w:val="00167057"/>
    <w:rsid w:val="001673BB"/>
    <w:rsid w:val="00167CEA"/>
    <w:rsid w:val="00170D30"/>
    <w:rsid w:val="001749A9"/>
    <w:rsid w:val="00181CF1"/>
    <w:rsid w:val="00182A4F"/>
    <w:rsid w:val="001975CC"/>
    <w:rsid w:val="001A0BD4"/>
    <w:rsid w:val="001B23DE"/>
    <w:rsid w:val="001B370F"/>
    <w:rsid w:val="001B712C"/>
    <w:rsid w:val="001C69E8"/>
    <w:rsid w:val="001C6BEF"/>
    <w:rsid w:val="001E1F31"/>
    <w:rsid w:val="001E5491"/>
    <w:rsid w:val="001E5A80"/>
    <w:rsid w:val="001E5A84"/>
    <w:rsid w:val="001E7015"/>
    <w:rsid w:val="001F0524"/>
    <w:rsid w:val="001F0E66"/>
    <w:rsid w:val="001F229D"/>
    <w:rsid w:val="001F3B29"/>
    <w:rsid w:val="001F4487"/>
    <w:rsid w:val="001F70D5"/>
    <w:rsid w:val="002026E8"/>
    <w:rsid w:val="00213F01"/>
    <w:rsid w:val="00215A36"/>
    <w:rsid w:val="00225930"/>
    <w:rsid w:val="0023103A"/>
    <w:rsid w:val="00233065"/>
    <w:rsid w:val="002360AC"/>
    <w:rsid w:val="002379CD"/>
    <w:rsid w:val="00240ABF"/>
    <w:rsid w:val="0024116B"/>
    <w:rsid w:val="00241CE0"/>
    <w:rsid w:val="002448EE"/>
    <w:rsid w:val="00250F9A"/>
    <w:rsid w:val="002529B0"/>
    <w:rsid w:val="002556CB"/>
    <w:rsid w:val="002639A5"/>
    <w:rsid w:val="00264453"/>
    <w:rsid w:val="00265BD0"/>
    <w:rsid w:val="002674F0"/>
    <w:rsid w:val="00273125"/>
    <w:rsid w:val="0028343C"/>
    <w:rsid w:val="00287054"/>
    <w:rsid w:val="0028794D"/>
    <w:rsid w:val="002925F4"/>
    <w:rsid w:val="00293C7A"/>
    <w:rsid w:val="00294712"/>
    <w:rsid w:val="002958AF"/>
    <w:rsid w:val="002A3F32"/>
    <w:rsid w:val="002A64CD"/>
    <w:rsid w:val="002A767E"/>
    <w:rsid w:val="002B3026"/>
    <w:rsid w:val="002B353E"/>
    <w:rsid w:val="002B4170"/>
    <w:rsid w:val="002B49F6"/>
    <w:rsid w:val="002B65CE"/>
    <w:rsid w:val="002C3902"/>
    <w:rsid w:val="002C48CE"/>
    <w:rsid w:val="002C51F5"/>
    <w:rsid w:val="002C6E0B"/>
    <w:rsid w:val="002C70BF"/>
    <w:rsid w:val="002D119A"/>
    <w:rsid w:val="002D2506"/>
    <w:rsid w:val="002D46FF"/>
    <w:rsid w:val="002E0797"/>
    <w:rsid w:val="002E0CF8"/>
    <w:rsid w:val="002E13CD"/>
    <w:rsid w:val="002F00F1"/>
    <w:rsid w:val="002F4183"/>
    <w:rsid w:val="002F5BBB"/>
    <w:rsid w:val="00303D74"/>
    <w:rsid w:val="00305CC8"/>
    <w:rsid w:val="00311A34"/>
    <w:rsid w:val="0032171B"/>
    <w:rsid w:val="00321FD4"/>
    <w:rsid w:val="00325FE3"/>
    <w:rsid w:val="00326F0B"/>
    <w:rsid w:val="00327350"/>
    <w:rsid w:val="003334A9"/>
    <w:rsid w:val="00333A7E"/>
    <w:rsid w:val="00342792"/>
    <w:rsid w:val="00345882"/>
    <w:rsid w:val="00345E50"/>
    <w:rsid w:val="0034718C"/>
    <w:rsid w:val="0035119F"/>
    <w:rsid w:val="0035247A"/>
    <w:rsid w:val="00353CDC"/>
    <w:rsid w:val="00362EAA"/>
    <w:rsid w:val="00366C8C"/>
    <w:rsid w:val="00373090"/>
    <w:rsid w:val="00380B06"/>
    <w:rsid w:val="003817BE"/>
    <w:rsid w:val="003823C1"/>
    <w:rsid w:val="00382FA3"/>
    <w:rsid w:val="00390F65"/>
    <w:rsid w:val="00392133"/>
    <w:rsid w:val="00393AB3"/>
    <w:rsid w:val="0039437D"/>
    <w:rsid w:val="003962E1"/>
    <w:rsid w:val="003A2E1D"/>
    <w:rsid w:val="003A35CE"/>
    <w:rsid w:val="003A3AAE"/>
    <w:rsid w:val="003B644E"/>
    <w:rsid w:val="003B704D"/>
    <w:rsid w:val="003C66A8"/>
    <w:rsid w:val="003D4724"/>
    <w:rsid w:val="003D6F2B"/>
    <w:rsid w:val="003F633F"/>
    <w:rsid w:val="00400793"/>
    <w:rsid w:val="004013B8"/>
    <w:rsid w:val="00405C20"/>
    <w:rsid w:val="00406C2D"/>
    <w:rsid w:val="004117C9"/>
    <w:rsid w:val="00412E94"/>
    <w:rsid w:val="004134B3"/>
    <w:rsid w:val="00414860"/>
    <w:rsid w:val="00416928"/>
    <w:rsid w:val="00416B5C"/>
    <w:rsid w:val="00420AFB"/>
    <w:rsid w:val="00421C86"/>
    <w:rsid w:val="00432C3A"/>
    <w:rsid w:val="004365FA"/>
    <w:rsid w:val="0044062A"/>
    <w:rsid w:val="004418DD"/>
    <w:rsid w:val="00442088"/>
    <w:rsid w:val="00445B0B"/>
    <w:rsid w:val="00456701"/>
    <w:rsid w:val="00460485"/>
    <w:rsid w:val="004610EF"/>
    <w:rsid w:val="00464A70"/>
    <w:rsid w:val="00470BE8"/>
    <w:rsid w:val="00471DA4"/>
    <w:rsid w:val="00473A68"/>
    <w:rsid w:val="004833B7"/>
    <w:rsid w:val="00483C90"/>
    <w:rsid w:val="0049002D"/>
    <w:rsid w:val="00493805"/>
    <w:rsid w:val="00496FDA"/>
    <w:rsid w:val="004A30B0"/>
    <w:rsid w:val="004A60C2"/>
    <w:rsid w:val="004A71C7"/>
    <w:rsid w:val="004B2797"/>
    <w:rsid w:val="004B2836"/>
    <w:rsid w:val="004B57D3"/>
    <w:rsid w:val="004B788C"/>
    <w:rsid w:val="004B7D37"/>
    <w:rsid w:val="004C7725"/>
    <w:rsid w:val="004D096A"/>
    <w:rsid w:val="004D68D4"/>
    <w:rsid w:val="004E133A"/>
    <w:rsid w:val="004E192B"/>
    <w:rsid w:val="004E2C92"/>
    <w:rsid w:val="004E3BB4"/>
    <w:rsid w:val="004F04F8"/>
    <w:rsid w:val="004F2FE2"/>
    <w:rsid w:val="004F3154"/>
    <w:rsid w:val="004F587D"/>
    <w:rsid w:val="0050041F"/>
    <w:rsid w:val="00503E81"/>
    <w:rsid w:val="00506EC5"/>
    <w:rsid w:val="0051042A"/>
    <w:rsid w:val="005128C7"/>
    <w:rsid w:val="00512D30"/>
    <w:rsid w:val="00520369"/>
    <w:rsid w:val="00521F05"/>
    <w:rsid w:val="00523E09"/>
    <w:rsid w:val="005245A0"/>
    <w:rsid w:val="00525053"/>
    <w:rsid w:val="0053685A"/>
    <w:rsid w:val="00541D58"/>
    <w:rsid w:val="00545050"/>
    <w:rsid w:val="005465EB"/>
    <w:rsid w:val="00547D22"/>
    <w:rsid w:val="00553CA8"/>
    <w:rsid w:val="005577EC"/>
    <w:rsid w:val="00563FFA"/>
    <w:rsid w:val="00566505"/>
    <w:rsid w:val="0057008C"/>
    <w:rsid w:val="0057343E"/>
    <w:rsid w:val="00577632"/>
    <w:rsid w:val="00577F92"/>
    <w:rsid w:val="00582C47"/>
    <w:rsid w:val="00583309"/>
    <w:rsid w:val="00583CCD"/>
    <w:rsid w:val="00595A0B"/>
    <w:rsid w:val="00596CC4"/>
    <w:rsid w:val="005B05FE"/>
    <w:rsid w:val="005B097A"/>
    <w:rsid w:val="005B5B8E"/>
    <w:rsid w:val="005C4CD2"/>
    <w:rsid w:val="005D1367"/>
    <w:rsid w:val="005D6F13"/>
    <w:rsid w:val="005E096D"/>
    <w:rsid w:val="005E43D7"/>
    <w:rsid w:val="005E6192"/>
    <w:rsid w:val="005F274C"/>
    <w:rsid w:val="005F2AFD"/>
    <w:rsid w:val="005F61A4"/>
    <w:rsid w:val="005F6A58"/>
    <w:rsid w:val="005F7174"/>
    <w:rsid w:val="005F773D"/>
    <w:rsid w:val="00601AE3"/>
    <w:rsid w:val="00603A40"/>
    <w:rsid w:val="00605187"/>
    <w:rsid w:val="006108DF"/>
    <w:rsid w:val="0061463D"/>
    <w:rsid w:val="00616E2B"/>
    <w:rsid w:val="00621636"/>
    <w:rsid w:val="00623AE6"/>
    <w:rsid w:val="00627124"/>
    <w:rsid w:val="00630AB5"/>
    <w:rsid w:val="00634261"/>
    <w:rsid w:val="00635743"/>
    <w:rsid w:val="006406C2"/>
    <w:rsid w:val="00647A17"/>
    <w:rsid w:val="00653F65"/>
    <w:rsid w:val="00655015"/>
    <w:rsid w:val="0065648A"/>
    <w:rsid w:val="00661D41"/>
    <w:rsid w:val="00667745"/>
    <w:rsid w:val="00671002"/>
    <w:rsid w:val="00672755"/>
    <w:rsid w:val="00683FAF"/>
    <w:rsid w:val="00686969"/>
    <w:rsid w:val="00693058"/>
    <w:rsid w:val="00696320"/>
    <w:rsid w:val="006A5405"/>
    <w:rsid w:val="006B206B"/>
    <w:rsid w:val="006B5362"/>
    <w:rsid w:val="006B75B2"/>
    <w:rsid w:val="006C02B4"/>
    <w:rsid w:val="006C30A5"/>
    <w:rsid w:val="006C4E46"/>
    <w:rsid w:val="006E24D1"/>
    <w:rsid w:val="006E38E1"/>
    <w:rsid w:val="006E614F"/>
    <w:rsid w:val="006F1C75"/>
    <w:rsid w:val="006F20E6"/>
    <w:rsid w:val="006F38C7"/>
    <w:rsid w:val="006F60B0"/>
    <w:rsid w:val="006F66D4"/>
    <w:rsid w:val="00707730"/>
    <w:rsid w:val="00717347"/>
    <w:rsid w:val="007205D5"/>
    <w:rsid w:val="00722D7F"/>
    <w:rsid w:val="007230B6"/>
    <w:rsid w:val="007256EB"/>
    <w:rsid w:val="0072639F"/>
    <w:rsid w:val="007307E9"/>
    <w:rsid w:val="00731CC3"/>
    <w:rsid w:val="007354E4"/>
    <w:rsid w:val="00740A7D"/>
    <w:rsid w:val="007412B0"/>
    <w:rsid w:val="00742B44"/>
    <w:rsid w:val="00744E62"/>
    <w:rsid w:val="007453F8"/>
    <w:rsid w:val="00752025"/>
    <w:rsid w:val="00752BDA"/>
    <w:rsid w:val="00754BD6"/>
    <w:rsid w:val="00763049"/>
    <w:rsid w:val="00763ECC"/>
    <w:rsid w:val="0076661F"/>
    <w:rsid w:val="00766C27"/>
    <w:rsid w:val="00767E81"/>
    <w:rsid w:val="00771084"/>
    <w:rsid w:val="00773C14"/>
    <w:rsid w:val="00774F03"/>
    <w:rsid w:val="00776205"/>
    <w:rsid w:val="00776A90"/>
    <w:rsid w:val="00783305"/>
    <w:rsid w:val="0078365A"/>
    <w:rsid w:val="00787239"/>
    <w:rsid w:val="007A186A"/>
    <w:rsid w:val="007A637C"/>
    <w:rsid w:val="007B0110"/>
    <w:rsid w:val="007B3050"/>
    <w:rsid w:val="007B45C6"/>
    <w:rsid w:val="007B480E"/>
    <w:rsid w:val="007B5490"/>
    <w:rsid w:val="007B7644"/>
    <w:rsid w:val="007C6CD8"/>
    <w:rsid w:val="007D3960"/>
    <w:rsid w:val="007D6B3F"/>
    <w:rsid w:val="007D7425"/>
    <w:rsid w:val="007E3FC7"/>
    <w:rsid w:val="007F0810"/>
    <w:rsid w:val="007F45A3"/>
    <w:rsid w:val="007F5A07"/>
    <w:rsid w:val="00805806"/>
    <w:rsid w:val="00806127"/>
    <w:rsid w:val="00807A5B"/>
    <w:rsid w:val="00811D17"/>
    <w:rsid w:val="00813FB1"/>
    <w:rsid w:val="00816205"/>
    <w:rsid w:val="00825B04"/>
    <w:rsid w:val="0083078C"/>
    <w:rsid w:val="00835B0F"/>
    <w:rsid w:val="00835CFC"/>
    <w:rsid w:val="00842884"/>
    <w:rsid w:val="00843D38"/>
    <w:rsid w:val="008456C7"/>
    <w:rsid w:val="0084648D"/>
    <w:rsid w:val="008500F0"/>
    <w:rsid w:val="008548E1"/>
    <w:rsid w:val="00854BAA"/>
    <w:rsid w:val="00854C6E"/>
    <w:rsid w:val="0086718D"/>
    <w:rsid w:val="00867ADD"/>
    <w:rsid w:val="00867D61"/>
    <w:rsid w:val="008707CC"/>
    <w:rsid w:val="00873451"/>
    <w:rsid w:val="0087372E"/>
    <w:rsid w:val="00876EA3"/>
    <w:rsid w:val="00882A44"/>
    <w:rsid w:val="00890A81"/>
    <w:rsid w:val="00895A3B"/>
    <w:rsid w:val="0089700C"/>
    <w:rsid w:val="008A0AB2"/>
    <w:rsid w:val="008A0E15"/>
    <w:rsid w:val="008A4C33"/>
    <w:rsid w:val="008A74B4"/>
    <w:rsid w:val="008B3B75"/>
    <w:rsid w:val="008B4FDC"/>
    <w:rsid w:val="008D2FDD"/>
    <w:rsid w:val="008D66D1"/>
    <w:rsid w:val="008D7A3A"/>
    <w:rsid w:val="008E032E"/>
    <w:rsid w:val="008E4CF8"/>
    <w:rsid w:val="008E61F7"/>
    <w:rsid w:val="008E6600"/>
    <w:rsid w:val="008F29D7"/>
    <w:rsid w:val="008F76DB"/>
    <w:rsid w:val="0090007C"/>
    <w:rsid w:val="00900F31"/>
    <w:rsid w:val="00903AC9"/>
    <w:rsid w:val="009059AE"/>
    <w:rsid w:val="00910B98"/>
    <w:rsid w:val="00912E00"/>
    <w:rsid w:val="0091498B"/>
    <w:rsid w:val="00926455"/>
    <w:rsid w:val="00933D76"/>
    <w:rsid w:val="00934454"/>
    <w:rsid w:val="00940ECF"/>
    <w:rsid w:val="00941826"/>
    <w:rsid w:val="00946118"/>
    <w:rsid w:val="00950234"/>
    <w:rsid w:val="00951692"/>
    <w:rsid w:val="00953D8E"/>
    <w:rsid w:val="00953F75"/>
    <w:rsid w:val="009642CE"/>
    <w:rsid w:val="00964B86"/>
    <w:rsid w:val="00971FE7"/>
    <w:rsid w:val="00972CA9"/>
    <w:rsid w:val="009730F4"/>
    <w:rsid w:val="00977263"/>
    <w:rsid w:val="00980EBB"/>
    <w:rsid w:val="00990461"/>
    <w:rsid w:val="009A06D6"/>
    <w:rsid w:val="009A208F"/>
    <w:rsid w:val="009A54A4"/>
    <w:rsid w:val="009A77B4"/>
    <w:rsid w:val="009B1534"/>
    <w:rsid w:val="009B25FD"/>
    <w:rsid w:val="009B3D33"/>
    <w:rsid w:val="009B3FB0"/>
    <w:rsid w:val="009B54DC"/>
    <w:rsid w:val="009C5525"/>
    <w:rsid w:val="009D2BCA"/>
    <w:rsid w:val="009D4B25"/>
    <w:rsid w:val="009D5718"/>
    <w:rsid w:val="009D598F"/>
    <w:rsid w:val="009D5B17"/>
    <w:rsid w:val="009D7631"/>
    <w:rsid w:val="009F56E4"/>
    <w:rsid w:val="00A00C18"/>
    <w:rsid w:val="00A011B1"/>
    <w:rsid w:val="00A05492"/>
    <w:rsid w:val="00A1454F"/>
    <w:rsid w:val="00A17B70"/>
    <w:rsid w:val="00A2708D"/>
    <w:rsid w:val="00A304B7"/>
    <w:rsid w:val="00A332CC"/>
    <w:rsid w:val="00A335C7"/>
    <w:rsid w:val="00A34A25"/>
    <w:rsid w:val="00A47822"/>
    <w:rsid w:val="00A5068D"/>
    <w:rsid w:val="00A53452"/>
    <w:rsid w:val="00A538CC"/>
    <w:rsid w:val="00A55971"/>
    <w:rsid w:val="00A62522"/>
    <w:rsid w:val="00A71770"/>
    <w:rsid w:val="00A76EF7"/>
    <w:rsid w:val="00A7784D"/>
    <w:rsid w:val="00A77E7E"/>
    <w:rsid w:val="00A841DE"/>
    <w:rsid w:val="00A9450B"/>
    <w:rsid w:val="00A962FC"/>
    <w:rsid w:val="00AA52D8"/>
    <w:rsid w:val="00AB27CF"/>
    <w:rsid w:val="00AC108D"/>
    <w:rsid w:val="00AC1FCD"/>
    <w:rsid w:val="00AC59B8"/>
    <w:rsid w:val="00AC6115"/>
    <w:rsid w:val="00AC73A6"/>
    <w:rsid w:val="00AC7434"/>
    <w:rsid w:val="00AC75C6"/>
    <w:rsid w:val="00AC7642"/>
    <w:rsid w:val="00AD2A18"/>
    <w:rsid w:val="00AD7F7F"/>
    <w:rsid w:val="00AE0D2D"/>
    <w:rsid w:val="00AF16D9"/>
    <w:rsid w:val="00AF2066"/>
    <w:rsid w:val="00AF4239"/>
    <w:rsid w:val="00AF6634"/>
    <w:rsid w:val="00AF6BA9"/>
    <w:rsid w:val="00B07D78"/>
    <w:rsid w:val="00B14CE8"/>
    <w:rsid w:val="00B17D73"/>
    <w:rsid w:val="00B22248"/>
    <w:rsid w:val="00B23333"/>
    <w:rsid w:val="00B25C24"/>
    <w:rsid w:val="00B30470"/>
    <w:rsid w:val="00B34621"/>
    <w:rsid w:val="00B349F9"/>
    <w:rsid w:val="00B36B5A"/>
    <w:rsid w:val="00B41D9C"/>
    <w:rsid w:val="00B5062E"/>
    <w:rsid w:val="00B50798"/>
    <w:rsid w:val="00B50EA8"/>
    <w:rsid w:val="00B55A81"/>
    <w:rsid w:val="00B55C22"/>
    <w:rsid w:val="00B60123"/>
    <w:rsid w:val="00B6178B"/>
    <w:rsid w:val="00B62E2B"/>
    <w:rsid w:val="00B72AB3"/>
    <w:rsid w:val="00B75762"/>
    <w:rsid w:val="00B84DF1"/>
    <w:rsid w:val="00B856DA"/>
    <w:rsid w:val="00B862B6"/>
    <w:rsid w:val="00B90196"/>
    <w:rsid w:val="00B972D9"/>
    <w:rsid w:val="00B9749B"/>
    <w:rsid w:val="00BA43E3"/>
    <w:rsid w:val="00BB21FD"/>
    <w:rsid w:val="00BB2637"/>
    <w:rsid w:val="00BB6C52"/>
    <w:rsid w:val="00BC19C7"/>
    <w:rsid w:val="00BC575D"/>
    <w:rsid w:val="00BC5BA7"/>
    <w:rsid w:val="00BD24FF"/>
    <w:rsid w:val="00BD264E"/>
    <w:rsid w:val="00BD4867"/>
    <w:rsid w:val="00BD611C"/>
    <w:rsid w:val="00BE0AAC"/>
    <w:rsid w:val="00BE281A"/>
    <w:rsid w:val="00BE3B63"/>
    <w:rsid w:val="00BE5BE5"/>
    <w:rsid w:val="00BF21B9"/>
    <w:rsid w:val="00BF5F00"/>
    <w:rsid w:val="00BF7205"/>
    <w:rsid w:val="00C002DA"/>
    <w:rsid w:val="00C01F52"/>
    <w:rsid w:val="00C04832"/>
    <w:rsid w:val="00C1017A"/>
    <w:rsid w:val="00C14E17"/>
    <w:rsid w:val="00C15D9F"/>
    <w:rsid w:val="00C207AE"/>
    <w:rsid w:val="00C21521"/>
    <w:rsid w:val="00C34E87"/>
    <w:rsid w:val="00C377E5"/>
    <w:rsid w:val="00C40D0E"/>
    <w:rsid w:val="00C41CE9"/>
    <w:rsid w:val="00C42214"/>
    <w:rsid w:val="00C440FF"/>
    <w:rsid w:val="00C5044C"/>
    <w:rsid w:val="00C50D73"/>
    <w:rsid w:val="00C55536"/>
    <w:rsid w:val="00C566D3"/>
    <w:rsid w:val="00C63C92"/>
    <w:rsid w:val="00C8343F"/>
    <w:rsid w:val="00C84F52"/>
    <w:rsid w:val="00C9654E"/>
    <w:rsid w:val="00C97E7A"/>
    <w:rsid w:val="00CA4F17"/>
    <w:rsid w:val="00CA6E23"/>
    <w:rsid w:val="00CA74F7"/>
    <w:rsid w:val="00CB0A08"/>
    <w:rsid w:val="00CB2C4C"/>
    <w:rsid w:val="00CC48CC"/>
    <w:rsid w:val="00CC6B93"/>
    <w:rsid w:val="00CC7825"/>
    <w:rsid w:val="00CD02D1"/>
    <w:rsid w:val="00CD039F"/>
    <w:rsid w:val="00CD7B81"/>
    <w:rsid w:val="00CE278F"/>
    <w:rsid w:val="00CE3428"/>
    <w:rsid w:val="00CE34D9"/>
    <w:rsid w:val="00CE3B98"/>
    <w:rsid w:val="00CE55E9"/>
    <w:rsid w:val="00CF30ED"/>
    <w:rsid w:val="00CF46E6"/>
    <w:rsid w:val="00CF5A85"/>
    <w:rsid w:val="00D02BF3"/>
    <w:rsid w:val="00D0392B"/>
    <w:rsid w:val="00D04ED6"/>
    <w:rsid w:val="00D11745"/>
    <w:rsid w:val="00D11C3D"/>
    <w:rsid w:val="00D15CFC"/>
    <w:rsid w:val="00D16E4A"/>
    <w:rsid w:val="00D17B6D"/>
    <w:rsid w:val="00D2269A"/>
    <w:rsid w:val="00D27251"/>
    <w:rsid w:val="00D31654"/>
    <w:rsid w:val="00D37445"/>
    <w:rsid w:val="00D44F41"/>
    <w:rsid w:val="00D468ED"/>
    <w:rsid w:val="00D47D75"/>
    <w:rsid w:val="00D512CE"/>
    <w:rsid w:val="00D62810"/>
    <w:rsid w:val="00D67191"/>
    <w:rsid w:val="00D6754B"/>
    <w:rsid w:val="00D71237"/>
    <w:rsid w:val="00D740B5"/>
    <w:rsid w:val="00D77350"/>
    <w:rsid w:val="00D82B35"/>
    <w:rsid w:val="00D84D8E"/>
    <w:rsid w:val="00D87EDD"/>
    <w:rsid w:val="00D87F8E"/>
    <w:rsid w:val="00DA4F73"/>
    <w:rsid w:val="00DA5DEA"/>
    <w:rsid w:val="00DA7629"/>
    <w:rsid w:val="00DB1D57"/>
    <w:rsid w:val="00DB62B7"/>
    <w:rsid w:val="00DC3305"/>
    <w:rsid w:val="00DC44E0"/>
    <w:rsid w:val="00DC7E63"/>
    <w:rsid w:val="00DD27BF"/>
    <w:rsid w:val="00DE4220"/>
    <w:rsid w:val="00DE71F2"/>
    <w:rsid w:val="00DE73D7"/>
    <w:rsid w:val="00DF069F"/>
    <w:rsid w:val="00DF06B3"/>
    <w:rsid w:val="00DF0E3F"/>
    <w:rsid w:val="00DF70FF"/>
    <w:rsid w:val="00DF76AC"/>
    <w:rsid w:val="00E02586"/>
    <w:rsid w:val="00E03ED6"/>
    <w:rsid w:val="00E11784"/>
    <w:rsid w:val="00E11D60"/>
    <w:rsid w:val="00E12C31"/>
    <w:rsid w:val="00E21243"/>
    <w:rsid w:val="00E4328B"/>
    <w:rsid w:val="00E64C14"/>
    <w:rsid w:val="00E67AEF"/>
    <w:rsid w:val="00E704EC"/>
    <w:rsid w:val="00E72866"/>
    <w:rsid w:val="00E769C9"/>
    <w:rsid w:val="00E86283"/>
    <w:rsid w:val="00EA09EA"/>
    <w:rsid w:val="00EA25EF"/>
    <w:rsid w:val="00EA26D5"/>
    <w:rsid w:val="00EA4D62"/>
    <w:rsid w:val="00EA668F"/>
    <w:rsid w:val="00EA6B59"/>
    <w:rsid w:val="00EB48AD"/>
    <w:rsid w:val="00EC29F2"/>
    <w:rsid w:val="00EC756F"/>
    <w:rsid w:val="00ED0EDC"/>
    <w:rsid w:val="00ED1729"/>
    <w:rsid w:val="00EE04AC"/>
    <w:rsid w:val="00EE0A4A"/>
    <w:rsid w:val="00EF1F4D"/>
    <w:rsid w:val="00EF3EEA"/>
    <w:rsid w:val="00F05B4D"/>
    <w:rsid w:val="00F05D70"/>
    <w:rsid w:val="00F14653"/>
    <w:rsid w:val="00F15A29"/>
    <w:rsid w:val="00F166AF"/>
    <w:rsid w:val="00F173D3"/>
    <w:rsid w:val="00F2440B"/>
    <w:rsid w:val="00F26B53"/>
    <w:rsid w:val="00F34057"/>
    <w:rsid w:val="00F40B44"/>
    <w:rsid w:val="00F4121E"/>
    <w:rsid w:val="00F44082"/>
    <w:rsid w:val="00F47059"/>
    <w:rsid w:val="00F53F6E"/>
    <w:rsid w:val="00F5572F"/>
    <w:rsid w:val="00F56C64"/>
    <w:rsid w:val="00F60E4F"/>
    <w:rsid w:val="00F63A72"/>
    <w:rsid w:val="00F661E2"/>
    <w:rsid w:val="00F6789A"/>
    <w:rsid w:val="00F67D3E"/>
    <w:rsid w:val="00F70483"/>
    <w:rsid w:val="00F82AD2"/>
    <w:rsid w:val="00F84026"/>
    <w:rsid w:val="00F8426D"/>
    <w:rsid w:val="00F90554"/>
    <w:rsid w:val="00F95DD5"/>
    <w:rsid w:val="00FA075A"/>
    <w:rsid w:val="00FA5CB5"/>
    <w:rsid w:val="00FA7DF9"/>
    <w:rsid w:val="00FB6386"/>
    <w:rsid w:val="00FC05C5"/>
    <w:rsid w:val="00FC424E"/>
    <w:rsid w:val="00FC4CD3"/>
    <w:rsid w:val="00FD3A16"/>
    <w:rsid w:val="00FD437C"/>
    <w:rsid w:val="00FE4C9C"/>
    <w:rsid w:val="00FE4FF4"/>
    <w:rsid w:val="00FF4A40"/>
    <w:rsid w:val="00FF582F"/>
    <w:rsid w:val="00FF65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2D5"/>
    <w:rPr>
      <w:rFonts w:ascii="Arial" w:hAnsi="Arial"/>
      <w:lang w:val="en-US" w:eastAsia="en-US"/>
    </w:rPr>
  </w:style>
  <w:style w:type="paragraph" w:styleId="Heading1">
    <w:name w:val="heading 1"/>
    <w:basedOn w:val="Normal"/>
    <w:next w:val="Normal"/>
    <w:link w:val="Heading1Char"/>
    <w:uiPriority w:val="99"/>
    <w:qFormat/>
    <w:rsid w:val="000B72D5"/>
    <w:pPr>
      <w:keepNext/>
      <w:outlineLvl w:val="0"/>
    </w:pPr>
    <w:rPr>
      <w:b/>
    </w:rPr>
  </w:style>
  <w:style w:type="paragraph" w:styleId="Heading2">
    <w:name w:val="heading 2"/>
    <w:basedOn w:val="Normal"/>
    <w:next w:val="Normal"/>
    <w:qFormat/>
    <w:rsid w:val="000B72D5"/>
    <w:pPr>
      <w:keepNext/>
      <w:outlineLvl w:val="1"/>
    </w:pPr>
    <w:rPr>
      <w:b/>
      <w:sz w:val="24"/>
    </w:rPr>
  </w:style>
  <w:style w:type="paragraph" w:styleId="Heading3">
    <w:name w:val="heading 3"/>
    <w:basedOn w:val="Normal"/>
    <w:next w:val="Normal"/>
    <w:qFormat/>
    <w:rsid w:val="000B72D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B72D5"/>
    <w:rPr>
      <w:sz w:val="16"/>
    </w:rPr>
  </w:style>
  <w:style w:type="paragraph" w:styleId="CommentText">
    <w:name w:val="annotation text"/>
    <w:basedOn w:val="Normal"/>
    <w:link w:val="CommentTextChar"/>
    <w:uiPriority w:val="99"/>
    <w:rsid w:val="000B72D5"/>
  </w:style>
  <w:style w:type="paragraph" w:styleId="Footer">
    <w:name w:val="footer"/>
    <w:basedOn w:val="Normal"/>
    <w:rsid w:val="000B72D5"/>
    <w:pPr>
      <w:tabs>
        <w:tab w:val="center" w:pos="4320"/>
        <w:tab w:val="right" w:pos="8640"/>
      </w:tabs>
    </w:pPr>
  </w:style>
  <w:style w:type="character" w:styleId="PageNumber">
    <w:name w:val="page number"/>
    <w:basedOn w:val="DefaultParagraphFont"/>
    <w:rsid w:val="000B72D5"/>
  </w:style>
  <w:style w:type="paragraph" w:styleId="Header">
    <w:name w:val="header"/>
    <w:basedOn w:val="Normal"/>
    <w:rsid w:val="000B72D5"/>
    <w:pPr>
      <w:tabs>
        <w:tab w:val="center" w:pos="4320"/>
        <w:tab w:val="right" w:pos="8640"/>
      </w:tabs>
    </w:pPr>
  </w:style>
  <w:style w:type="paragraph" w:styleId="BalloonText">
    <w:name w:val="Balloon Text"/>
    <w:basedOn w:val="Normal"/>
    <w:semiHidden/>
    <w:rsid w:val="000B72D5"/>
    <w:rPr>
      <w:rFonts w:ascii="Tahoma" w:hAnsi="Tahoma" w:cs="Tahoma"/>
      <w:sz w:val="16"/>
      <w:szCs w:val="16"/>
    </w:rPr>
  </w:style>
  <w:style w:type="character" w:styleId="Hyperlink">
    <w:name w:val="Hyperlink"/>
    <w:uiPriority w:val="99"/>
    <w:rsid w:val="00FF582F"/>
    <w:rPr>
      <w:color w:val="0000FF"/>
      <w:u w:val="single"/>
    </w:rPr>
  </w:style>
  <w:style w:type="character" w:styleId="FollowedHyperlink">
    <w:name w:val="FollowedHyperlink"/>
    <w:rsid w:val="0035119F"/>
    <w:rPr>
      <w:color w:val="800080"/>
      <w:u w:val="single"/>
    </w:rPr>
  </w:style>
  <w:style w:type="paragraph" w:styleId="ListParagraph">
    <w:name w:val="List Paragraph"/>
    <w:basedOn w:val="Normal"/>
    <w:uiPriority w:val="34"/>
    <w:qFormat/>
    <w:rsid w:val="00596CC4"/>
    <w:pPr>
      <w:ind w:left="720"/>
    </w:pPr>
    <w:rPr>
      <w:rFonts w:ascii="Calibri" w:eastAsia="Calibri" w:hAnsi="Calibri"/>
      <w:sz w:val="22"/>
      <w:szCs w:val="22"/>
    </w:rPr>
  </w:style>
  <w:style w:type="character" w:customStyle="1" w:styleId="Heading1Char">
    <w:name w:val="Heading 1 Char"/>
    <w:basedOn w:val="DefaultParagraphFont"/>
    <w:link w:val="Heading1"/>
    <w:uiPriority w:val="99"/>
    <w:locked/>
    <w:rsid w:val="00776205"/>
    <w:rPr>
      <w:rFonts w:ascii="Arial" w:hAnsi="Arial"/>
      <w:b/>
      <w:lang w:val="en-US" w:eastAsia="en-US"/>
    </w:rPr>
  </w:style>
  <w:style w:type="character" w:customStyle="1" w:styleId="CommentTextChar">
    <w:name w:val="Comment Text Char"/>
    <w:basedOn w:val="DefaultParagraphFont"/>
    <w:link w:val="CommentText"/>
    <w:uiPriority w:val="99"/>
    <w:rsid w:val="002556CB"/>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2D5"/>
    <w:rPr>
      <w:rFonts w:ascii="Arial" w:hAnsi="Arial"/>
      <w:lang w:val="en-US" w:eastAsia="en-US"/>
    </w:rPr>
  </w:style>
  <w:style w:type="paragraph" w:styleId="Heading1">
    <w:name w:val="heading 1"/>
    <w:basedOn w:val="Normal"/>
    <w:next w:val="Normal"/>
    <w:link w:val="Heading1Char"/>
    <w:uiPriority w:val="99"/>
    <w:qFormat/>
    <w:rsid w:val="000B72D5"/>
    <w:pPr>
      <w:keepNext/>
      <w:outlineLvl w:val="0"/>
    </w:pPr>
    <w:rPr>
      <w:b/>
    </w:rPr>
  </w:style>
  <w:style w:type="paragraph" w:styleId="Heading2">
    <w:name w:val="heading 2"/>
    <w:basedOn w:val="Normal"/>
    <w:next w:val="Normal"/>
    <w:qFormat/>
    <w:rsid w:val="000B72D5"/>
    <w:pPr>
      <w:keepNext/>
      <w:outlineLvl w:val="1"/>
    </w:pPr>
    <w:rPr>
      <w:b/>
      <w:sz w:val="24"/>
    </w:rPr>
  </w:style>
  <w:style w:type="paragraph" w:styleId="Heading3">
    <w:name w:val="heading 3"/>
    <w:basedOn w:val="Normal"/>
    <w:next w:val="Normal"/>
    <w:qFormat/>
    <w:rsid w:val="000B72D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B72D5"/>
    <w:rPr>
      <w:sz w:val="16"/>
    </w:rPr>
  </w:style>
  <w:style w:type="paragraph" w:styleId="CommentText">
    <w:name w:val="annotation text"/>
    <w:basedOn w:val="Normal"/>
    <w:link w:val="CommentTextChar"/>
    <w:uiPriority w:val="99"/>
    <w:rsid w:val="000B72D5"/>
  </w:style>
  <w:style w:type="paragraph" w:styleId="Footer">
    <w:name w:val="footer"/>
    <w:basedOn w:val="Normal"/>
    <w:rsid w:val="000B72D5"/>
    <w:pPr>
      <w:tabs>
        <w:tab w:val="center" w:pos="4320"/>
        <w:tab w:val="right" w:pos="8640"/>
      </w:tabs>
    </w:pPr>
  </w:style>
  <w:style w:type="character" w:styleId="PageNumber">
    <w:name w:val="page number"/>
    <w:basedOn w:val="DefaultParagraphFont"/>
    <w:rsid w:val="000B72D5"/>
  </w:style>
  <w:style w:type="paragraph" w:styleId="Header">
    <w:name w:val="header"/>
    <w:basedOn w:val="Normal"/>
    <w:rsid w:val="000B72D5"/>
    <w:pPr>
      <w:tabs>
        <w:tab w:val="center" w:pos="4320"/>
        <w:tab w:val="right" w:pos="8640"/>
      </w:tabs>
    </w:pPr>
  </w:style>
  <w:style w:type="paragraph" w:styleId="BalloonText">
    <w:name w:val="Balloon Text"/>
    <w:basedOn w:val="Normal"/>
    <w:semiHidden/>
    <w:rsid w:val="000B72D5"/>
    <w:rPr>
      <w:rFonts w:ascii="Tahoma" w:hAnsi="Tahoma" w:cs="Tahoma"/>
      <w:sz w:val="16"/>
      <w:szCs w:val="16"/>
    </w:rPr>
  </w:style>
  <w:style w:type="character" w:styleId="Hyperlink">
    <w:name w:val="Hyperlink"/>
    <w:uiPriority w:val="99"/>
    <w:rsid w:val="00FF582F"/>
    <w:rPr>
      <w:color w:val="0000FF"/>
      <w:u w:val="single"/>
    </w:rPr>
  </w:style>
  <w:style w:type="character" w:styleId="FollowedHyperlink">
    <w:name w:val="FollowedHyperlink"/>
    <w:rsid w:val="0035119F"/>
    <w:rPr>
      <w:color w:val="800080"/>
      <w:u w:val="single"/>
    </w:rPr>
  </w:style>
  <w:style w:type="paragraph" w:styleId="ListParagraph">
    <w:name w:val="List Paragraph"/>
    <w:basedOn w:val="Normal"/>
    <w:uiPriority w:val="34"/>
    <w:qFormat/>
    <w:rsid w:val="00596CC4"/>
    <w:pPr>
      <w:ind w:left="720"/>
    </w:pPr>
    <w:rPr>
      <w:rFonts w:ascii="Calibri" w:eastAsia="Calibri" w:hAnsi="Calibri"/>
      <w:sz w:val="22"/>
      <w:szCs w:val="22"/>
    </w:rPr>
  </w:style>
  <w:style w:type="character" w:customStyle="1" w:styleId="Heading1Char">
    <w:name w:val="Heading 1 Char"/>
    <w:basedOn w:val="DefaultParagraphFont"/>
    <w:link w:val="Heading1"/>
    <w:uiPriority w:val="99"/>
    <w:locked/>
    <w:rsid w:val="00776205"/>
    <w:rPr>
      <w:rFonts w:ascii="Arial" w:hAnsi="Arial"/>
      <w:b/>
      <w:lang w:val="en-US" w:eastAsia="en-US"/>
    </w:rPr>
  </w:style>
  <w:style w:type="character" w:customStyle="1" w:styleId="CommentTextChar">
    <w:name w:val="Comment Text Char"/>
    <w:basedOn w:val="DefaultParagraphFont"/>
    <w:link w:val="CommentText"/>
    <w:uiPriority w:val="99"/>
    <w:rsid w:val="002556CB"/>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351999701">
      <w:bodyDiv w:val="1"/>
      <w:marLeft w:val="0"/>
      <w:marRight w:val="0"/>
      <w:marTop w:val="0"/>
      <w:marBottom w:val="0"/>
      <w:divBdr>
        <w:top w:val="none" w:sz="0" w:space="0" w:color="auto"/>
        <w:left w:val="none" w:sz="0" w:space="0" w:color="auto"/>
        <w:bottom w:val="none" w:sz="0" w:space="0" w:color="auto"/>
        <w:right w:val="none" w:sz="0" w:space="0" w:color="auto"/>
      </w:divBdr>
    </w:div>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921794792">
      <w:bodyDiv w:val="1"/>
      <w:marLeft w:val="0"/>
      <w:marRight w:val="0"/>
      <w:marTop w:val="0"/>
      <w:marBottom w:val="0"/>
      <w:divBdr>
        <w:top w:val="none" w:sz="0" w:space="0" w:color="auto"/>
        <w:left w:val="none" w:sz="0" w:space="0" w:color="auto"/>
        <w:bottom w:val="none" w:sz="0" w:space="0" w:color="auto"/>
        <w:right w:val="none" w:sz="0" w:space="0" w:color="auto"/>
      </w:divBdr>
      <w:divsChild>
        <w:div w:id="1292204112">
          <w:marLeft w:val="0"/>
          <w:marRight w:val="0"/>
          <w:marTop w:val="0"/>
          <w:marBottom w:val="0"/>
          <w:divBdr>
            <w:top w:val="none" w:sz="0" w:space="0" w:color="auto"/>
            <w:left w:val="none" w:sz="0" w:space="0" w:color="auto"/>
            <w:bottom w:val="none" w:sz="0" w:space="0" w:color="auto"/>
            <w:right w:val="none" w:sz="0" w:space="0" w:color="auto"/>
          </w:divBdr>
          <w:divsChild>
            <w:div w:id="18814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8838">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457406404">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1535000962">
      <w:bodyDiv w:val="1"/>
      <w:marLeft w:val="0"/>
      <w:marRight w:val="0"/>
      <w:marTop w:val="0"/>
      <w:marBottom w:val="0"/>
      <w:divBdr>
        <w:top w:val="none" w:sz="0" w:space="0" w:color="auto"/>
        <w:left w:val="none" w:sz="0" w:space="0" w:color="auto"/>
        <w:bottom w:val="none" w:sz="0" w:space="0" w:color="auto"/>
        <w:right w:val="none" w:sz="0" w:space="0" w:color="auto"/>
      </w:divBdr>
    </w:div>
    <w:div w:id="1929654779">
      <w:bodyDiv w:val="1"/>
      <w:marLeft w:val="0"/>
      <w:marRight w:val="0"/>
      <w:marTop w:val="0"/>
      <w:marBottom w:val="0"/>
      <w:divBdr>
        <w:top w:val="none" w:sz="0" w:space="0" w:color="auto"/>
        <w:left w:val="none" w:sz="0" w:space="0" w:color="auto"/>
        <w:bottom w:val="none" w:sz="0" w:space="0" w:color="auto"/>
        <w:right w:val="none" w:sz="0" w:space="0" w:color="auto"/>
      </w:divBdr>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heo.ca/index.php?pid=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ment\Agendas\2008\AMC%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 Agenda Template</Template>
  <TotalTime>5</TotalTime>
  <Pages>3</Pages>
  <Words>915</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rbarker</dc:creator>
  <cp:lastModifiedBy>sfegan</cp:lastModifiedBy>
  <cp:revision>2</cp:revision>
  <cp:lastPrinted>2009-02-24T16:48:00Z</cp:lastPrinted>
  <dcterms:created xsi:type="dcterms:W3CDTF">2014-06-25T14:01:00Z</dcterms:created>
  <dcterms:modified xsi:type="dcterms:W3CDTF">2014-06-25T14:01:00Z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