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2B" w:rsidRDefault="00116C2B">
      <w:pPr>
        <w:pStyle w:val="Heading4"/>
      </w:pPr>
      <w:r>
        <w:t>Core Indicators for Public Health in Ontario</w:t>
      </w:r>
    </w:p>
    <w:p w:rsidR="00116C2B" w:rsidRPr="00766F1C" w:rsidRDefault="00116C2B">
      <w:pPr>
        <w:pStyle w:val="Heading1"/>
        <w:spacing w:before="60" w:after="60"/>
        <w:rPr>
          <w:rFonts w:ascii="Calibri" w:hAnsi="Calibri" w:cs="Calibri"/>
          <w:sz w:val="22"/>
          <w:szCs w:val="22"/>
        </w:rPr>
      </w:pPr>
      <w:r w:rsidRPr="00766F1C">
        <w:rPr>
          <w:rFonts w:ascii="Calibri" w:hAnsi="Calibri" w:cs="Calibri"/>
          <w:sz w:val="22"/>
          <w:szCs w:val="22"/>
        </w:rPr>
        <w:t>Core Indicators Work Group &lt;Healthy Eating Active Living (HEAL) subgroup&gt;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190"/>
      </w:tblGrid>
      <w:tr w:rsidR="00116C2B">
        <w:tc>
          <w:tcPr>
            <w:tcW w:w="1530" w:type="dxa"/>
            <w:vAlign w:val="center"/>
          </w:tcPr>
          <w:p w:rsidR="00116C2B" w:rsidRDefault="00116C2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190" w:type="dxa"/>
            <w:vAlign w:val="center"/>
          </w:tcPr>
          <w:p w:rsidR="00116C2B" w:rsidRDefault="00E416B7" w:rsidP="006F373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May 6</w:t>
            </w:r>
            <w:r w:rsidR="00116C2B">
              <w:rPr>
                <w:rFonts w:ascii="Arial" w:hAnsi="Arial" w:cs="Arial"/>
                <w:sz w:val="22"/>
                <w:szCs w:val="22"/>
              </w:rPr>
              <w:t xml:space="preserve">, 2013, </w:t>
            </w:r>
            <w:r w:rsidR="006F3730">
              <w:rPr>
                <w:rFonts w:ascii="Arial" w:hAnsi="Arial" w:cs="Arial"/>
                <w:sz w:val="22"/>
                <w:szCs w:val="22"/>
              </w:rPr>
              <w:t>1</w:t>
            </w:r>
            <w:r w:rsidR="00116C2B">
              <w:rPr>
                <w:rFonts w:ascii="Arial" w:hAnsi="Arial" w:cs="Arial"/>
                <w:sz w:val="22"/>
                <w:szCs w:val="22"/>
              </w:rPr>
              <w:t xml:space="preserve">:30 p.m. – </w:t>
            </w:r>
            <w:r w:rsidR="006F3730">
              <w:rPr>
                <w:rFonts w:ascii="Arial" w:hAnsi="Arial" w:cs="Arial"/>
                <w:sz w:val="22"/>
                <w:szCs w:val="22"/>
              </w:rPr>
              <w:t>3</w:t>
            </w:r>
            <w:r w:rsidR="00116C2B">
              <w:rPr>
                <w:rFonts w:ascii="Arial" w:hAnsi="Arial" w:cs="Arial"/>
                <w:sz w:val="22"/>
                <w:szCs w:val="22"/>
              </w:rPr>
              <w:t>:30 p.m.</w:t>
            </w:r>
          </w:p>
        </w:tc>
      </w:tr>
      <w:tr w:rsidR="00116C2B">
        <w:tc>
          <w:tcPr>
            <w:tcW w:w="1530" w:type="dxa"/>
            <w:vAlign w:val="center"/>
          </w:tcPr>
          <w:p w:rsidR="00116C2B" w:rsidRDefault="00116C2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8190" w:type="dxa"/>
            <w:vAlign w:val="center"/>
          </w:tcPr>
          <w:p w:rsidR="00116C2B" w:rsidRDefault="00116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Teleconference</w:t>
            </w:r>
          </w:p>
          <w:p w:rsidR="00116C2B" w:rsidRDefault="00116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(416) 850-2050</w:t>
            </w:r>
          </w:p>
          <w:p w:rsidR="00116C2B" w:rsidRDefault="00116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1-866-261-6767</w:t>
            </w:r>
          </w:p>
          <w:p w:rsidR="00116C2B" w:rsidRDefault="00116C2B" w:rsidP="00116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Password: </w:t>
            </w:r>
            <w:r w:rsidR="008C378A" w:rsidRPr="008C378A">
              <w:rPr>
                <w:rFonts w:ascii="Arial" w:hAnsi="Arial" w:cs="Arial"/>
                <w:sz w:val="22"/>
                <w:szCs w:val="22"/>
              </w:rPr>
              <w:t>770439#</w:t>
            </w:r>
          </w:p>
        </w:tc>
      </w:tr>
      <w:tr w:rsidR="00116C2B">
        <w:tc>
          <w:tcPr>
            <w:tcW w:w="1530" w:type="dxa"/>
            <w:vAlign w:val="center"/>
          </w:tcPr>
          <w:p w:rsidR="00116C2B" w:rsidRDefault="00116C2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Attendees: </w:t>
            </w:r>
          </w:p>
        </w:tc>
        <w:tc>
          <w:tcPr>
            <w:tcW w:w="8190" w:type="dxa"/>
            <w:vAlign w:val="center"/>
          </w:tcPr>
          <w:p w:rsidR="00116C2B" w:rsidRPr="00C1516E" w:rsidRDefault="00116C2B" w:rsidP="00CA1ED7">
            <w:pPr>
              <w:pStyle w:val="CommentTex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516E">
              <w:rPr>
                <w:rFonts w:ascii="Arial" w:hAnsi="Arial" w:cs="Arial"/>
                <w:sz w:val="22"/>
                <w:szCs w:val="22"/>
                <w:lang w:val="pt-BR"/>
              </w:rPr>
              <w:t xml:space="preserve">Suzanne Fegan, Natalie Greenidge, Jeremy Herring, </w:t>
            </w:r>
            <w:r w:rsidR="00AE62AB" w:rsidRPr="00AE62AB">
              <w:rPr>
                <w:rFonts w:ascii="Arial" w:hAnsi="Arial" w:cs="Arial"/>
                <w:sz w:val="22"/>
                <w:szCs w:val="22"/>
                <w:lang w:val="pt-BR"/>
              </w:rPr>
              <w:t>Ahalya Mahendra</w:t>
            </w:r>
            <w:r w:rsidR="00AE62AB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="00AE62AB" w:rsidRPr="00AE62A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F70926">
              <w:rPr>
                <w:rFonts w:ascii="Arial" w:hAnsi="Arial" w:cs="Arial"/>
                <w:sz w:val="22"/>
                <w:szCs w:val="22"/>
                <w:lang w:val="en-US"/>
              </w:rPr>
              <w:t xml:space="preserve">Elizabeth Rael, </w:t>
            </w:r>
            <w:r w:rsidR="00203C33" w:rsidRPr="00203C33">
              <w:rPr>
                <w:rFonts w:ascii="Arial" w:hAnsi="Arial" w:cs="Arial"/>
                <w:sz w:val="22"/>
                <w:szCs w:val="22"/>
                <w:lang w:val="pt-BR"/>
              </w:rPr>
              <w:t>Katherine Russell</w:t>
            </w:r>
            <w:r w:rsidR="00203C33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="00203C33" w:rsidRPr="00203C3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C1516E">
              <w:rPr>
                <w:rFonts w:ascii="Arial" w:hAnsi="Arial" w:cs="Arial"/>
                <w:sz w:val="22"/>
                <w:szCs w:val="22"/>
                <w:lang w:val="pt-BR"/>
              </w:rPr>
              <w:t>Fangli Xie</w:t>
            </w:r>
          </w:p>
        </w:tc>
      </w:tr>
      <w:tr w:rsidR="00116C2B">
        <w:tc>
          <w:tcPr>
            <w:tcW w:w="1530" w:type="dxa"/>
            <w:vAlign w:val="center"/>
          </w:tcPr>
          <w:p w:rsidR="00116C2B" w:rsidRDefault="00116C2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Regrets:</w:t>
            </w:r>
          </w:p>
        </w:tc>
        <w:tc>
          <w:tcPr>
            <w:tcW w:w="8190" w:type="dxa"/>
            <w:vAlign w:val="center"/>
          </w:tcPr>
          <w:p w:rsidR="00116C2B" w:rsidRPr="00C1516E" w:rsidRDefault="003B14BD" w:rsidP="00E45BB1">
            <w:pPr>
              <w:pStyle w:val="CommentText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Elsa Ho</w:t>
            </w:r>
          </w:p>
        </w:tc>
      </w:tr>
      <w:tr w:rsidR="00116C2B">
        <w:tc>
          <w:tcPr>
            <w:tcW w:w="1530" w:type="dxa"/>
            <w:vAlign w:val="center"/>
          </w:tcPr>
          <w:p w:rsidR="00116C2B" w:rsidRDefault="00116C2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Chair:</w:t>
            </w:r>
          </w:p>
        </w:tc>
        <w:tc>
          <w:tcPr>
            <w:tcW w:w="8190" w:type="dxa"/>
            <w:vAlign w:val="center"/>
          </w:tcPr>
          <w:p w:rsidR="00116C2B" w:rsidRPr="00C1516E" w:rsidRDefault="00116C2B">
            <w:pPr>
              <w:pStyle w:val="CommentText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516E">
              <w:rPr>
                <w:rFonts w:ascii="Arial" w:hAnsi="Arial" w:cs="Arial"/>
                <w:sz w:val="22"/>
                <w:szCs w:val="22"/>
                <w:lang w:val="en-US"/>
              </w:rPr>
              <w:t>Suzanne Fegan</w:t>
            </w:r>
          </w:p>
        </w:tc>
      </w:tr>
      <w:tr w:rsidR="00116C2B">
        <w:tc>
          <w:tcPr>
            <w:tcW w:w="1530" w:type="dxa"/>
            <w:vAlign w:val="center"/>
          </w:tcPr>
          <w:p w:rsidR="00116C2B" w:rsidRDefault="00116C2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Recorder:</w:t>
            </w:r>
          </w:p>
        </w:tc>
        <w:tc>
          <w:tcPr>
            <w:tcW w:w="8190" w:type="dxa"/>
            <w:vAlign w:val="center"/>
          </w:tcPr>
          <w:p w:rsidR="00116C2B" w:rsidRPr="00C1516E" w:rsidRDefault="00116C2B">
            <w:pPr>
              <w:pStyle w:val="CommentText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516E">
              <w:rPr>
                <w:rFonts w:ascii="Arial" w:hAnsi="Arial" w:cs="Arial"/>
                <w:sz w:val="22"/>
                <w:szCs w:val="22"/>
                <w:lang w:val="en-US"/>
              </w:rPr>
              <w:t>Natalie Greenidge</w:t>
            </w:r>
          </w:p>
        </w:tc>
      </w:tr>
    </w:tbl>
    <w:p w:rsidR="00116C2B" w:rsidRDefault="00116C2B">
      <w:pPr>
        <w:spacing w:before="60" w:after="60"/>
        <w:rPr>
          <w:rFonts w:ascii="Arial" w:hAnsi="Arial" w:cs="Arial"/>
          <w:b/>
          <w:bCs/>
          <w:sz w:val="12"/>
          <w:szCs w:val="12"/>
        </w:rPr>
      </w:pPr>
    </w:p>
    <w:p w:rsidR="00094726" w:rsidRPr="00950CCA" w:rsidRDefault="00116C2B">
      <w:pPr>
        <w:spacing w:before="60" w:after="60"/>
        <w:rPr>
          <w:rFonts w:ascii="Arial" w:hAnsi="Arial" w:cs="Arial"/>
          <w:b/>
          <w:bCs/>
        </w:rPr>
      </w:pPr>
      <w:r w:rsidRPr="00950CCA">
        <w:rPr>
          <w:rFonts w:ascii="Arial" w:hAnsi="Arial" w:cs="Arial"/>
          <w:b/>
          <w:bCs/>
        </w:rPr>
        <w:t>Agenda</w:t>
      </w:r>
    </w:p>
    <w:tbl>
      <w:tblPr>
        <w:tblW w:w="1029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964"/>
        <w:gridCol w:w="6520"/>
      </w:tblGrid>
      <w:tr w:rsidR="00116C2B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16C2B" w:rsidRPr="0056520E" w:rsidRDefault="00116C2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16C2B" w:rsidRPr="0056520E" w:rsidRDefault="00116C2B" w:rsidP="00116C2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6520" w:type="dxa"/>
            <w:vAlign w:val="center"/>
          </w:tcPr>
          <w:p w:rsidR="00116C2B" w:rsidRPr="0056520E" w:rsidRDefault="00116C2B">
            <w:pPr>
              <w:pStyle w:val="Heading2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56520E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Actions</w:t>
            </w:r>
          </w:p>
        </w:tc>
      </w:tr>
      <w:tr w:rsidR="00116C2B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1.0 </w:t>
            </w: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 w:rsidP="00116C2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sz w:val="21"/>
                <w:szCs w:val="21"/>
              </w:rPr>
              <w:t>Welcome and introductions</w:t>
            </w:r>
          </w:p>
        </w:tc>
        <w:tc>
          <w:tcPr>
            <w:tcW w:w="6520" w:type="dxa"/>
          </w:tcPr>
          <w:p w:rsidR="00116C2B" w:rsidRPr="0056520E" w:rsidRDefault="00116C2B" w:rsidP="00116C2B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C2B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bCs/>
                <w:sz w:val="21"/>
                <w:szCs w:val="21"/>
              </w:rPr>
              <w:t>3.0</w:t>
            </w: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 w:rsidP="00116C2B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6520E">
              <w:rPr>
                <w:rFonts w:ascii="Arial" w:hAnsi="Arial" w:cs="Arial"/>
                <w:b/>
                <w:sz w:val="21"/>
                <w:szCs w:val="21"/>
                <w:lang w:val="en-US"/>
              </w:rPr>
              <w:t>Approval of Agenda</w:t>
            </w:r>
          </w:p>
        </w:tc>
        <w:tc>
          <w:tcPr>
            <w:tcW w:w="6520" w:type="dxa"/>
          </w:tcPr>
          <w:p w:rsidR="00116C2B" w:rsidRPr="0056520E" w:rsidRDefault="00116C2B" w:rsidP="00116C2B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Approved without amendments.</w:t>
            </w:r>
          </w:p>
        </w:tc>
      </w:tr>
      <w:tr w:rsidR="00116C2B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GoBack"/>
            <w:r w:rsidRPr="0056520E">
              <w:rPr>
                <w:rFonts w:ascii="Arial" w:hAnsi="Arial" w:cs="Arial"/>
                <w:b/>
                <w:bCs/>
                <w:sz w:val="21"/>
                <w:szCs w:val="21"/>
              </w:rPr>
              <w:t>3.0</w:t>
            </w: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 w:rsidP="008C37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Approval of </w:t>
            </w:r>
            <w:r w:rsidR="008C378A" w:rsidRPr="0056520E">
              <w:rPr>
                <w:rFonts w:ascii="Arial" w:hAnsi="Arial" w:cs="Arial"/>
                <w:b/>
                <w:bCs/>
                <w:sz w:val="21"/>
                <w:szCs w:val="21"/>
              </w:rPr>
              <w:t>March 8</w:t>
            </w:r>
            <w:r w:rsidRPr="0056520E">
              <w:rPr>
                <w:rFonts w:ascii="Arial" w:hAnsi="Arial" w:cs="Arial"/>
                <w:b/>
                <w:bCs/>
                <w:sz w:val="21"/>
                <w:szCs w:val="21"/>
              </w:rPr>
              <w:t>, 2013 Minutes</w:t>
            </w:r>
          </w:p>
        </w:tc>
        <w:tc>
          <w:tcPr>
            <w:tcW w:w="6520" w:type="dxa"/>
          </w:tcPr>
          <w:p w:rsidR="00116C2B" w:rsidRPr="0056520E" w:rsidRDefault="00116C2B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 xml:space="preserve">Approved without amendments. </w:t>
            </w:r>
          </w:p>
          <w:p w:rsidR="00116C2B" w:rsidRPr="0056520E" w:rsidRDefault="00116C2B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sz w:val="21"/>
                <w:szCs w:val="21"/>
              </w:rPr>
              <w:t>ACTION 1:</w:t>
            </w:r>
            <w:r w:rsidRPr="0056520E">
              <w:rPr>
                <w:rFonts w:ascii="Arial" w:hAnsi="Arial" w:cs="Arial"/>
                <w:sz w:val="21"/>
                <w:szCs w:val="21"/>
              </w:rPr>
              <w:t xml:space="preserve"> Natalie will post minutes on the APHEO website.</w:t>
            </w:r>
          </w:p>
        </w:tc>
      </w:tr>
      <w:bookmarkEnd w:id="0"/>
      <w:tr w:rsidR="00116C2B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4.0</w:t>
            </w: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 w:rsidP="00116C2B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Business Arising</w:t>
            </w:r>
          </w:p>
        </w:tc>
        <w:tc>
          <w:tcPr>
            <w:tcW w:w="6520" w:type="dxa"/>
          </w:tcPr>
          <w:p w:rsidR="00F70926" w:rsidRPr="0056520E" w:rsidRDefault="00F70926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6C2B" w:rsidRPr="00C149C0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 w:rsidP="00116C2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4.1</w:t>
            </w: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8C378A" w:rsidP="00116C2B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Revision of the LRADG</w:t>
            </w:r>
            <w:r w:rsidR="00116C2B" w:rsidRPr="005652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520" w:type="dxa"/>
          </w:tcPr>
          <w:p w:rsidR="00116C2B" w:rsidRPr="0056520E" w:rsidRDefault="00116C2B" w:rsidP="00116C2B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378A" w:rsidRPr="00C149C0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C378A" w:rsidRPr="0056520E" w:rsidRDefault="008C378A" w:rsidP="00116C2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C378A" w:rsidRPr="0056520E" w:rsidRDefault="008C378A" w:rsidP="00116C2B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4.1.1 Should we exclude all respondents with missing data?</w:t>
            </w:r>
          </w:p>
        </w:tc>
        <w:tc>
          <w:tcPr>
            <w:tcW w:w="6520" w:type="dxa"/>
          </w:tcPr>
          <w:p w:rsidR="00306350" w:rsidRPr="0056520E" w:rsidRDefault="00135811" w:rsidP="00306350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For</w:t>
            </w:r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Accountability Agreement indicator, the indicator used in the CMOH report and </w:t>
            </w:r>
            <w:r w:rsidR="000B1A01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previous versions of the APHEO </w:t>
            </w:r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>Core Indicator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0B1A01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individuals with missing </w:t>
            </w:r>
            <w:r w:rsidR="006C6A83" w:rsidRPr="0056520E">
              <w:rPr>
                <w:rFonts w:ascii="Arial" w:hAnsi="Arial" w:cs="Arial"/>
                <w:color w:val="000000"/>
                <w:sz w:val="21"/>
                <w:szCs w:val="21"/>
              </w:rPr>
              <w:t>data</w:t>
            </w:r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for past week alcohol use </w:t>
            </w:r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were excluded from the calculation of </w:t>
            </w:r>
            <w:proofErr w:type="spellStart"/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>exceedance</w:t>
            </w:r>
            <w:proofErr w:type="spellEnd"/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the Low-Risk Alco</w:t>
            </w:r>
            <w:r w:rsidR="00680E52" w:rsidRPr="0056520E">
              <w:rPr>
                <w:rFonts w:ascii="Arial" w:hAnsi="Arial" w:cs="Arial"/>
                <w:color w:val="000000"/>
                <w:sz w:val="21"/>
                <w:szCs w:val="21"/>
              </w:rPr>
              <w:t>hol Drinking Guidelines (LRADG).</w:t>
            </w:r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[</w:t>
            </w:r>
            <w:r w:rsidR="00680E52" w:rsidRPr="0056520E">
              <w:rPr>
                <w:rFonts w:ascii="Arial" w:hAnsi="Arial" w:cs="Arial"/>
                <w:color w:val="000000"/>
                <w:sz w:val="21"/>
                <w:szCs w:val="21"/>
              </w:rPr>
              <w:t>Note: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missing</w:t>
            </w:r>
            <w:r w:rsidR="00680E5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-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those with a response of “Don’t Know”, “Refused”, “Not Stated” (proxy interview or if similar prior question was answered “NS”)]. Of those individuals with missing </w:t>
            </w:r>
            <w:r w:rsidR="006C6A83" w:rsidRPr="0056520E">
              <w:rPr>
                <w:rFonts w:ascii="Arial" w:hAnsi="Arial" w:cs="Arial"/>
                <w:color w:val="000000"/>
                <w:sz w:val="21"/>
                <w:szCs w:val="21"/>
              </w:rPr>
              <w:t>data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, it</w:t>
            </w:r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is possible to identify some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1466E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individuals that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exceed</w:t>
            </w:r>
            <w:r w:rsidR="00D10AA3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relevant LRADG guidelines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, but </w:t>
            </w:r>
            <w:r w:rsidR="00D10AA3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it is not possible </w:t>
            </w:r>
            <w:r w:rsidR="0071466E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to identify all or </w:t>
            </w:r>
            <w:r w:rsidR="00D10AA3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to confirm </w:t>
            </w:r>
            <w:r w:rsidR="00F93A49" w:rsidRPr="0056520E">
              <w:rPr>
                <w:rFonts w:ascii="Arial" w:hAnsi="Arial" w:cs="Arial"/>
                <w:color w:val="000000"/>
                <w:sz w:val="21"/>
                <w:szCs w:val="21"/>
              </w:rPr>
              <w:t>those</w:t>
            </w:r>
            <w:r w:rsidR="00F93A49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in compliance with the LRADG. The group agreed that </w:t>
            </w:r>
            <w:r w:rsidR="00294164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bias exists if the proportion of exceeders to compliers </w:t>
            </w:r>
            <w:r w:rsidR="00740BA4" w:rsidRPr="0056520E">
              <w:rPr>
                <w:rFonts w:ascii="Arial" w:hAnsi="Arial" w:cs="Arial"/>
                <w:color w:val="000000"/>
                <w:sz w:val="21"/>
                <w:szCs w:val="21"/>
              </w:rPr>
              <w:t>is different</w:t>
            </w:r>
            <w:r w:rsidR="00294164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group with missing data</w:t>
            </w:r>
            <w:r w:rsidR="00814B6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than in the group with complete data</w:t>
            </w:r>
            <w:r w:rsidR="00F93A49" w:rsidRPr="0056520E">
              <w:rPr>
                <w:rFonts w:ascii="Arial" w:hAnsi="Arial" w:cs="Arial"/>
                <w:color w:val="000000"/>
                <w:sz w:val="21"/>
                <w:szCs w:val="21"/>
              </w:rPr>
              <w:t>. The</w:t>
            </w:r>
            <w:r w:rsidR="00294164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group also noted that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including </w:t>
            </w:r>
            <w:r w:rsidR="00680E5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individuals </w:t>
            </w:r>
            <w:r w:rsidR="00294164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with answers for some but not all parts of the questions </w:t>
            </w:r>
            <w:r w:rsidR="00814B6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(i.e., categorizing someone as an exceeder) </w:t>
            </w:r>
            <w:r w:rsidR="00306350" w:rsidRPr="0056520E">
              <w:rPr>
                <w:rFonts w:ascii="Arial" w:hAnsi="Arial" w:cs="Arial"/>
                <w:color w:val="000000"/>
                <w:sz w:val="21"/>
                <w:szCs w:val="21"/>
              </w:rPr>
              <w:t>may</w:t>
            </w:r>
            <w:r w:rsidR="00F93A49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06350" w:rsidRPr="0056520E">
              <w:rPr>
                <w:rFonts w:ascii="Arial" w:hAnsi="Arial" w:cs="Arial"/>
                <w:color w:val="000000"/>
                <w:sz w:val="21"/>
                <w:szCs w:val="21"/>
              </w:rPr>
              <w:t>introduce bias</w:t>
            </w:r>
            <w:r w:rsidR="00814B6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that would overestimate </w:t>
            </w:r>
            <w:proofErr w:type="spellStart"/>
            <w:r w:rsidR="00814B62" w:rsidRPr="0056520E">
              <w:rPr>
                <w:rFonts w:ascii="Arial" w:hAnsi="Arial" w:cs="Arial"/>
                <w:color w:val="000000"/>
                <w:sz w:val="21"/>
                <w:szCs w:val="21"/>
              </w:rPr>
              <w:t>exceedance</w:t>
            </w:r>
            <w:proofErr w:type="spellEnd"/>
            <w:r w:rsidR="00306350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 w:rsidR="00740BA4" w:rsidRPr="0056520E">
              <w:rPr>
                <w:rFonts w:ascii="Arial" w:hAnsi="Arial" w:cs="Arial"/>
                <w:color w:val="000000"/>
                <w:sz w:val="21"/>
                <w:szCs w:val="21"/>
              </w:rPr>
              <w:t>Suzanne stated that 1% of ALL respondents</w:t>
            </w:r>
            <w:r w:rsidR="00F93A49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missing data</w:t>
            </w:r>
            <w:r w:rsidR="00740BA4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may still exceed the LRDAG.</w:t>
            </w:r>
            <w:r w:rsidR="00814B6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  <w:p w:rsidR="006C6A83" w:rsidRPr="0056520E" w:rsidRDefault="00306350" w:rsidP="00306350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ACTION</w:t>
            </w:r>
            <w:r w:rsidR="00135811"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6C6A83" w:rsidRPr="0056520E" w:rsidRDefault="00135811" w:rsidP="006C6A83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Those with missing data</w:t>
            </w:r>
            <w:r w:rsidR="006C6A83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“Alcohol Use in the Past Week (ALW)” module will be excluded from the calculation of LRADG #1.</w:t>
            </w:r>
          </w:p>
          <w:p w:rsidR="006C6A83" w:rsidRPr="0056520E" w:rsidRDefault="006C6A83" w:rsidP="006C6A83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Those with missing data in the “Alcohol Use (ALC)” module will be excluded from the calculation of LRADG #2.</w:t>
            </w:r>
          </w:p>
          <w:p w:rsidR="00B5480C" w:rsidRPr="0056520E" w:rsidRDefault="006C6A83" w:rsidP="00B5480C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Those with data missing from ALW and</w:t>
            </w:r>
            <w:r w:rsidR="00881E12" w:rsidRPr="0056520E">
              <w:rPr>
                <w:rFonts w:ascii="Arial" w:hAnsi="Arial" w:cs="Arial"/>
                <w:color w:val="000000"/>
                <w:sz w:val="21"/>
                <w:szCs w:val="21"/>
              </w:rPr>
              <w:t>/or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ALC will be excluded from the calculation of </w:t>
            </w:r>
            <w:r w:rsidR="00680E5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“</w:t>
            </w:r>
            <w:proofErr w:type="spellStart"/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Exceedance</w:t>
            </w:r>
            <w:proofErr w:type="spellEnd"/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LRADG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#1 </w:t>
            </w:r>
            <w:r w:rsidR="00AE38B1" w:rsidRPr="0056520E">
              <w:rPr>
                <w:rFonts w:ascii="Arial" w:hAnsi="Arial" w:cs="Arial"/>
                <w:color w:val="000000"/>
                <w:sz w:val="21"/>
                <w:szCs w:val="21"/>
              </w:rPr>
              <w:t>and/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or #2”</w:t>
            </w:r>
            <w:r w:rsidR="00680E5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indicator.</w:t>
            </w:r>
            <w:r w:rsidR="008368D1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8C378A" w:rsidRPr="0056520E" w:rsidRDefault="00B5480C" w:rsidP="00B5480C">
            <w:pPr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(Therefore</w:t>
            </w:r>
            <w:r w:rsidR="008368D1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denominator for each of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the three proposed indicators will be</w:t>
            </w:r>
            <w:r w:rsidR="008368D1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different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="008368D1" w:rsidRPr="0056520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6C6A83" w:rsidRPr="0056520E" w:rsidRDefault="006C6A83" w:rsidP="008368D1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An analysis checklist </w:t>
            </w:r>
            <w:r w:rsidR="00680E5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point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or indicator comment will be included in the Core Indicator to </w:t>
            </w:r>
            <w:proofErr w:type="gramStart"/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advise</w:t>
            </w:r>
            <w:proofErr w:type="gramEnd"/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the above.</w:t>
            </w:r>
          </w:p>
        </w:tc>
      </w:tr>
      <w:tr w:rsidR="008C378A" w:rsidRPr="00C149C0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C378A" w:rsidRPr="0056520E" w:rsidRDefault="008C378A" w:rsidP="00116C2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C378A" w:rsidRPr="0056520E" w:rsidRDefault="008C378A" w:rsidP="00116C2B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4.1.2 Revision of ‘moderate’ category for exceeding Guideline 2</w:t>
            </w:r>
          </w:p>
        </w:tc>
        <w:tc>
          <w:tcPr>
            <w:tcW w:w="6520" w:type="dxa"/>
          </w:tcPr>
          <w:p w:rsidR="008C378A" w:rsidRPr="0056520E" w:rsidRDefault="00EF307E" w:rsidP="00EF307E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Suzanne circulated a revised document, “Calculations for exceeding LRDGs_May_02_2013”. Th</w:t>
            </w:r>
            <w:r w:rsidR="00E57545" w:rsidRPr="0056520E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document attempts to establish levels of risk for those consuming alcohol in excess of LRADG #2 (i.e., moderate and high, based on information in the Canadian Centre on Substance Abuse policy paper “</w:t>
            </w:r>
            <w:hyperlink r:id="rId8" w:history="1">
              <w:r w:rsidRPr="0056520E">
                <w:rPr>
                  <w:rStyle w:val="Hyperlink"/>
                  <w:rFonts w:ascii="Arial" w:hAnsi="Arial" w:cs="Arial"/>
                  <w:sz w:val="21"/>
                  <w:szCs w:val="21"/>
                </w:rPr>
                <w:t>Levels and patterns of alcohol use in Canada</w:t>
              </w:r>
            </w:hyperlink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”, table 4). The group agreed that a reference to the policy paper w</w:t>
            </w:r>
            <w:r w:rsidR="00E57545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ill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be provided in the indicator, but for simplicity and clarity, different levels of risk would not be specified</w:t>
            </w:r>
            <w:r w:rsidR="008368D1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as part of the indicator calculation or name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  <w:p w:rsidR="00EF307E" w:rsidRPr="0056520E" w:rsidRDefault="00EF307E" w:rsidP="00EF307E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ACTION</w:t>
            </w:r>
            <w:r w:rsidR="00E57545"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3</w:t>
            </w: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E1BB2" w:rsidRPr="0056520E">
              <w:rPr>
                <w:rFonts w:ascii="Arial" w:hAnsi="Arial" w:cs="Arial"/>
                <w:color w:val="000000"/>
                <w:sz w:val="21"/>
                <w:szCs w:val="21"/>
              </w:rPr>
              <w:t>The following specific indicators will be included in the Core Indicator:</w:t>
            </w:r>
          </w:p>
          <w:p w:rsidR="00DE1BB2" w:rsidRPr="0056520E" w:rsidRDefault="00DE1BB2" w:rsidP="00DE1BB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Proportion of the population that exceeds LRADG #1</w:t>
            </w:r>
          </w:p>
          <w:p w:rsidR="00DE1BB2" w:rsidRPr="0056520E" w:rsidRDefault="00DE1BB2" w:rsidP="00DE1BB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Proportion of the population that exceeds LRADG #2</w:t>
            </w:r>
          </w:p>
          <w:p w:rsidR="00DE1BB2" w:rsidRPr="0056520E" w:rsidRDefault="00DE1BB2" w:rsidP="00DE1BB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Proportion of the population that exceeds LRADG #1 </w:t>
            </w:r>
            <w:r w:rsidR="0056520E" w:rsidRPr="0056520E">
              <w:rPr>
                <w:rFonts w:ascii="Arial" w:hAnsi="Arial" w:cs="Arial"/>
                <w:color w:val="000000"/>
                <w:sz w:val="21"/>
                <w:szCs w:val="21"/>
              </w:rPr>
              <w:t>and/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or #2</w:t>
            </w:r>
          </w:p>
          <w:p w:rsidR="00094726" w:rsidRPr="0056520E" w:rsidRDefault="00DE1BB2" w:rsidP="00E575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="00E57545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n indicator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comment </w:t>
            </w:r>
            <w:r w:rsidR="00E57545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will be included to advise that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the level of risk of alcohol-related harm increases </w:t>
            </w:r>
            <w:r w:rsidR="00E57545" w:rsidRPr="0056520E">
              <w:rPr>
                <w:rFonts w:ascii="Arial" w:hAnsi="Arial" w:cs="Arial"/>
                <w:color w:val="000000"/>
                <w:sz w:val="21"/>
                <w:szCs w:val="21"/>
              </w:rPr>
              <w:t>with the more alcohol consumed in excess of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LRADGs</w:t>
            </w:r>
            <w:r w:rsidR="00E57545" w:rsidRPr="0056520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C378A" w:rsidRPr="00C149C0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C378A" w:rsidRPr="0056520E" w:rsidRDefault="008C378A" w:rsidP="00116C2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C378A" w:rsidRPr="0056520E" w:rsidRDefault="008C378A" w:rsidP="00116C2B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4.1.3 Revised version of indicator in progress</w:t>
            </w:r>
          </w:p>
        </w:tc>
        <w:tc>
          <w:tcPr>
            <w:tcW w:w="6520" w:type="dxa"/>
          </w:tcPr>
          <w:p w:rsidR="00950CCA" w:rsidRPr="0056520E" w:rsidRDefault="00DE1BB2" w:rsidP="00950CCA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A draft of the “Drinking in excess of the low-risk alcohol drinking guidelines” </w:t>
            </w:r>
            <w:r w:rsidR="00B26312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Core Indicator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was circulated to the group. Natalie stated that </w:t>
            </w:r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in the </w:t>
            </w:r>
            <w:hyperlink r:id="rId9" w:anchor="t8" w:history="1">
              <w:r w:rsidR="006779A9" w:rsidRPr="0056520E">
                <w:rPr>
                  <w:rStyle w:val="Hyperlink"/>
                  <w:rFonts w:ascii="Arial" w:hAnsi="Arial" w:cs="Arial"/>
                  <w:sz w:val="21"/>
                  <w:szCs w:val="21"/>
                </w:rPr>
                <w:t>CADUMS</w:t>
              </w:r>
            </w:hyperlink>
            <w:r w:rsidR="006779A9" w:rsidRPr="0056520E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</w:t>
            </w:r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survey, Health Canada/Statistics Canada use alcohol consumption in the past seven days (i.e., the CCHS </w:t>
            </w:r>
            <w:r w:rsidR="006779A9" w:rsidRPr="0056520E">
              <w:rPr>
                <w:rFonts w:ascii="Arial" w:hAnsi="Arial" w:cs="Arial"/>
                <w:color w:val="000000"/>
                <w:sz w:val="21"/>
                <w:szCs w:val="21"/>
              </w:rPr>
              <w:t>“</w:t>
            </w:r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>ALW</w:t>
            </w:r>
            <w:r w:rsidR="006779A9" w:rsidRPr="0056520E">
              <w:rPr>
                <w:rFonts w:ascii="Arial" w:hAnsi="Arial" w:cs="Arial"/>
                <w:color w:val="000000"/>
                <w:sz w:val="21"/>
                <w:szCs w:val="21"/>
              </w:rPr>
              <w:t>”</w:t>
            </w:r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module), to determine </w:t>
            </w:r>
            <w:proofErr w:type="spellStart"/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>exceedance</w:t>
            </w:r>
            <w:proofErr w:type="spellEnd"/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guideline 2. However, the MOHLTC Accountability Agreement LRDG indicator, the CMOH report and the proposed APHEO LRADG Core Indicator use alcohol consumption in the past 12 months (i.e.,</w:t>
            </w:r>
            <w:r w:rsidR="006779A9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CCHS</w:t>
            </w:r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779A9" w:rsidRPr="0056520E">
              <w:rPr>
                <w:rFonts w:ascii="Arial" w:hAnsi="Arial" w:cs="Arial"/>
                <w:color w:val="000000"/>
                <w:sz w:val="21"/>
                <w:szCs w:val="21"/>
              </w:rPr>
              <w:t>“</w:t>
            </w:r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>ALC</w:t>
            </w:r>
            <w:r w:rsidR="006779A9" w:rsidRPr="0056520E">
              <w:rPr>
                <w:rFonts w:ascii="Arial" w:hAnsi="Arial" w:cs="Arial"/>
                <w:color w:val="000000"/>
                <w:sz w:val="21"/>
                <w:szCs w:val="21"/>
              </w:rPr>
              <w:t>”</w:t>
            </w:r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module) to determine </w:t>
            </w:r>
            <w:proofErr w:type="spellStart"/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>exce</w:t>
            </w:r>
            <w:r w:rsidR="006779A9" w:rsidRPr="0056520E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>dance</w:t>
            </w:r>
            <w:proofErr w:type="spellEnd"/>
            <w:r w:rsidR="00456146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of</w:t>
            </w:r>
            <w:r w:rsidR="00950CCA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guideline 2.</w:t>
            </w:r>
          </w:p>
          <w:p w:rsidR="008C378A" w:rsidRPr="0056520E" w:rsidRDefault="0020521C" w:rsidP="00950CCA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ACTION</w:t>
            </w:r>
            <w:r w:rsidR="00E57545"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4</w:t>
            </w: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This difference in the method of calculation will be noted in the “Corresponding Indicators from Statistics Canada/CIHI” section of the Core Indicator.</w:t>
            </w:r>
          </w:p>
        </w:tc>
      </w:tr>
      <w:tr w:rsidR="008C378A" w:rsidRPr="00C149C0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C378A" w:rsidRPr="0056520E" w:rsidRDefault="008C378A" w:rsidP="00116C2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C378A" w:rsidRPr="0056520E" w:rsidRDefault="008C378A" w:rsidP="00116C2B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4.1.4 APHEO Conference presentation</w:t>
            </w:r>
          </w:p>
        </w:tc>
        <w:tc>
          <w:tcPr>
            <w:tcW w:w="6520" w:type="dxa"/>
          </w:tcPr>
          <w:p w:rsidR="007657B4" w:rsidRPr="0056520E" w:rsidRDefault="0020521C" w:rsidP="007657B4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Suzanne and Natalie are </w:t>
            </w:r>
            <w:r w:rsidR="007657B4" w:rsidRPr="0056520E">
              <w:rPr>
                <w:rFonts w:ascii="Arial" w:hAnsi="Arial" w:cs="Arial"/>
                <w:color w:val="000000"/>
                <w:sz w:val="21"/>
                <w:szCs w:val="21"/>
              </w:rPr>
              <w:t>creating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a slide deck for the APHEO Conference presentation: “Drinking in excess of the low-risk alcohol guidelines: Core Indicator revision”. They will forward a draft to the group </w:t>
            </w:r>
            <w:r w:rsidR="00680E52" w:rsidRPr="0056520E">
              <w:rPr>
                <w:rFonts w:ascii="Arial" w:hAnsi="Arial" w:cs="Arial"/>
                <w:color w:val="000000"/>
                <w:sz w:val="21"/>
                <w:szCs w:val="21"/>
              </w:rPr>
              <w:t>by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Friday, May 10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th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  <w:p w:rsidR="008C378A" w:rsidRPr="0056520E" w:rsidRDefault="0020521C" w:rsidP="007657B4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ACTION</w:t>
            </w:r>
            <w:r w:rsidR="00E57545"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5</w:t>
            </w: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657B4" w:rsidRPr="0056520E">
              <w:rPr>
                <w:rFonts w:ascii="Arial" w:hAnsi="Arial" w:cs="Arial"/>
                <w:color w:val="000000"/>
                <w:sz w:val="21"/>
                <w:szCs w:val="21"/>
              </w:rPr>
              <w:t>Suzanne and Natalie would appreciate receiving feedback from s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ubgroup members </w:t>
            </w:r>
            <w:r w:rsidR="003B14BD" w:rsidRPr="0056520E">
              <w:rPr>
                <w:rFonts w:ascii="Arial" w:hAnsi="Arial" w:cs="Arial"/>
                <w:color w:val="000000"/>
                <w:sz w:val="21"/>
                <w:szCs w:val="21"/>
              </w:rPr>
              <w:t>by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Wednesday, May 15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th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CA1ED7" w:rsidRPr="00C149C0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1ED7" w:rsidRPr="0056520E" w:rsidRDefault="00CA1ED7" w:rsidP="00CA1ED7">
            <w:pPr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4.2</w:t>
            </w: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A1ED7" w:rsidRPr="0056520E" w:rsidRDefault="00CA1ED7" w:rsidP="00CA1ED7">
            <w:pPr>
              <w:rPr>
                <w:rFonts w:ascii="Arial" w:hAnsi="Arial" w:cs="Arial"/>
                <w:sz w:val="21"/>
                <w:szCs w:val="21"/>
              </w:rPr>
            </w:pPr>
            <w:r w:rsidRPr="0056520E">
              <w:rPr>
                <w:rFonts w:ascii="Arial" w:hAnsi="Arial" w:cs="Arial"/>
                <w:sz w:val="21"/>
                <w:szCs w:val="21"/>
              </w:rPr>
              <w:t>Recommended ICD-10 groupings for chronic disease groups</w:t>
            </w:r>
            <w:r w:rsidR="003B14BD" w:rsidRPr="0056520E">
              <w:rPr>
                <w:rFonts w:ascii="Arial" w:hAnsi="Arial" w:cs="Arial"/>
                <w:sz w:val="21"/>
                <w:szCs w:val="21"/>
              </w:rPr>
              <w:t xml:space="preserve"> [Chronic lower respiratory diseases (J40-J47); COPD (J40-J44); Asthma (J45)]</w:t>
            </w:r>
          </w:p>
        </w:tc>
        <w:tc>
          <w:tcPr>
            <w:tcW w:w="6520" w:type="dxa"/>
          </w:tcPr>
          <w:p w:rsidR="003B14BD" w:rsidRPr="0056520E" w:rsidRDefault="003B14BD" w:rsidP="003B14BD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At the March 8, 2013</w:t>
            </w:r>
            <w:r w:rsidR="007657B4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HEAL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meeting, the group decided to include the following respiratory disease definitions in the “Chronic Diseases Hospitalization” Core Indicator: </w:t>
            </w:r>
          </w:p>
          <w:p w:rsidR="003B14BD" w:rsidRPr="0056520E" w:rsidRDefault="003B14BD" w:rsidP="007657B4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Chronic lower</w:t>
            </w:r>
            <w:r w:rsidR="003A0145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respiratory diseases (J40-J47)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3B14BD" w:rsidRPr="0056520E" w:rsidRDefault="003A0145" w:rsidP="007657B4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COPD (J40-J44)</w:t>
            </w:r>
          </w:p>
          <w:p w:rsidR="003B14BD" w:rsidRPr="0056520E" w:rsidRDefault="003B14BD" w:rsidP="007657B4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Asthma (J45)</w:t>
            </w:r>
          </w:p>
          <w:p w:rsidR="00CA1ED7" w:rsidRPr="0056520E" w:rsidRDefault="003B14BD" w:rsidP="003B14BD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Before finalizing the</w:t>
            </w:r>
            <w:r w:rsidR="007657B4" w:rsidRPr="0056520E">
              <w:rPr>
                <w:rFonts w:ascii="Arial" w:hAnsi="Arial" w:cs="Arial"/>
                <w:color w:val="000000"/>
                <w:sz w:val="21"/>
                <w:szCs w:val="21"/>
              </w:rPr>
              <w:t>se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recommendations, t</w:t>
            </w:r>
            <w:r w:rsidR="00281FA7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he group will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consult literature to support/refute </w:t>
            </w:r>
            <w:r w:rsidR="003A0145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these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decisions</w:t>
            </w:r>
            <w:r w:rsidR="00281FA7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  <w:p w:rsidR="003B14BD" w:rsidRPr="0056520E" w:rsidRDefault="003B14BD" w:rsidP="007657B4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ACTION</w:t>
            </w:r>
            <w:r w:rsidR="00E57545"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6</w:t>
            </w:r>
            <w:r w:rsidRPr="0056520E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 Suzanne will check </w:t>
            </w:r>
            <w:r w:rsidR="007657B4" w:rsidRPr="0056520E">
              <w:rPr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literature she has already reviewed and identify whether an additiona</w:t>
            </w:r>
            <w:r w:rsidR="003A0145" w:rsidRPr="0056520E">
              <w:rPr>
                <w:rFonts w:ascii="Arial" w:hAnsi="Arial" w:cs="Arial"/>
                <w:color w:val="000000"/>
                <w:sz w:val="21"/>
                <w:szCs w:val="21"/>
              </w:rPr>
              <w:t>l literature search is required by the group.</w:t>
            </w:r>
          </w:p>
        </w:tc>
      </w:tr>
      <w:tr w:rsidR="00116C2B" w:rsidRPr="00C149C0">
        <w:trPr>
          <w:trHeight w:val="254"/>
        </w:trPr>
        <w:tc>
          <w:tcPr>
            <w:tcW w:w="80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116C2B" w:rsidP="00116C2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sz w:val="21"/>
                <w:szCs w:val="21"/>
              </w:rPr>
              <w:t>5.0</w:t>
            </w:r>
          </w:p>
        </w:tc>
        <w:tc>
          <w:tcPr>
            <w:tcW w:w="2964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16C2B" w:rsidRPr="0056520E" w:rsidRDefault="00CA1ED7" w:rsidP="00116C2B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56520E">
              <w:rPr>
                <w:rFonts w:ascii="Arial" w:hAnsi="Arial" w:cs="Arial"/>
                <w:b/>
                <w:sz w:val="21"/>
                <w:szCs w:val="21"/>
              </w:rPr>
              <w:t>Next Meeting</w:t>
            </w:r>
          </w:p>
        </w:tc>
        <w:tc>
          <w:tcPr>
            <w:tcW w:w="6520" w:type="dxa"/>
          </w:tcPr>
          <w:p w:rsidR="00116C2B" w:rsidRPr="0056520E" w:rsidRDefault="003B14BD">
            <w:pPr>
              <w:tabs>
                <w:tab w:val="num" w:pos="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520E">
              <w:rPr>
                <w:rFonts w:ascii="Arial" w:hAnsi="Arial" w:cs="Arial"/>
                <w:color w:val="000000"/>
                <w:sz w:val="21"/>
                <w:szCs w:val="21"/>
              </w:rPr>
              <w:t>TBD</w:t>
            </w:r>
          </w:p>
        </w:tc>
      </w:tr>
    </w:tbl>
    <w:p w:rsidR="00116C2B" w:rsidRPr="00C149C0" w:rsidRDefault="00116C2B" w:rsidP="00950CCA">
      <w:pPr>
        <w:rPr>
          <w:sz w:val="22"/>
          <w:szCs w:val="22"/>
        </w:rPr>
      </w:pPr>
    </w:p>
    <w:sectPr w:rsidR="00116C2B" w:rsidRPr="00C149C0" w:rsidSect="00116C2B">
      <w:footerReference w:type="default" r:id="rId10"/>
      <w:type w:val="continuous"/>
      <w:pgSz w:w="12240" w:h="15840"/>
      <w:pgMar w:top="1080" w:right="806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43" w:rsidRDefault="00894F43">
      <w:r>
        <w:separator/>
      </w:r>
    </w:p>
  </w:endnote>
  <w:endnote w:type="continuationSeparator" w:id="0">
    <w:p w:rsidR="00894F43" w:rsidRDefault="0089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1C" w:rsidRDefault="00604E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43" w:rsidRDefault="00894F43">
      <w:r>
        <w:separator/>
      </w:r>
    </w:p>
  </w:footnote>
  <w:footnote w:type="continuationSeparator" w:id="0">
    <w:p w:rsidR="00894F43" w:rsidRDefault="0089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C36"/>
    <w:multiLevelType w:val="hybridMultilevel"/>
    <w:tmpl w:val="2DB28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C2A"/>
    <w:multiLevelType w:val="hybridMultilevel"/>
    <w:tmpl w:val="7ED66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20871"/>
    <w:multiLevelType w:val="hybridMultilevel"/>
    <w:tmpl w:val="E2E40A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45962"/>
    <w:multiLevelType w:val="hybridMultilevel"/>
    <w:tmpl w:val="070EF5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753C53"/>
    <w:multiLevelType w:val="hybridMultilevel"/>
    <w:tmpl w:val="2280D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102"/>
    <w:multiLevelType w:val="hybridMultilevel"/>
    <w:tmpl w:val="7280FD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3169E"/>
    <w:multiLevelType w:val="hybridMultilevel"/>
    <w:tmpl w:val="3CEEF076"/>
    <w:lvl w:ilvl="0" w:tplc="06BC9F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B28CE"/>
    <w:multiLevelType w:val="hybridMultilevel"/>
    <w:tmpl w:val="65BC69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7A10"/>
    <w:multiLevelType w:val="hybridMultilevel"/>
    <w:tmpl w:val="0658D3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2BC4"/>
    <w:multiLevelType w:val="hybridMultilevel"/>
    <w:tmpl w:val="9F180B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90EA5"/>
    <w:multiLevelType w:val="hybridMultilevel"/>
    <w:tmpl w:val="E58E3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43CB9"/>
    <w:multiLevelType w:val="hybridMultilevel"/>
    <w:tmpl w:val="962CA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7A3"/>
    <w:rsid w:val="00033952"/>
    <w:rsid w:val="00094726"/>
    <w:rsid w:val="000B1A01"/>
    <w:rsid w:val="000D681A"/>
    <w:rsid w:val="00116C2B"/>
    <w:rsid w:val="00135811"/>
    <w:rsid w:val="00142819"/>
    <w:rsid w:val="00193991"/>
    <w:rsid w:val="001A77A3"/>
    <w:rsid w:val="001B2400"/>
    <w:rsid w:val="00203C33"/>
    <w:rsid w:val="0020521C"/>
    <w:rsid w:val="00230AC3"/>
    <w:rsid w:val="002513C1"/>
    <w:rsid w:val="00281FA7"/>
    <w:rsid w:val="00294164"/>
    <w:rsid w:val="002A05D8"/>
    <w:rsid w:val="002A785A"/>
    <w:rsid w:val="002C465B"/>
    <w:rsid w:val="002E6580"/>
    <w:rsid w:val="00306350"/>
    <w:rsid w:val="003563AC"/>
    <w:rsid w:val="003912E7"/>
    <w:rsid w:val="003A0145"/>
    <w:rsid w:val="003B14BD"/>
    <w:rsid w:val="003D7CD0"/>
    <w:rsid w:val="003E724C"/>
    <w:rsid w:val="00456146"/>
    <w:rsid w:val="004A1817"/>
    <w:rsid w:val="004D3DE7"/>
    <w:rsid w:val="004E3E7F"/>
    <w:rsid w:val="00505626"/>
    <w:rsid w:val="0056520E"/>
    <w:rsid w:val="0057067E"/>
    <w:rsid w:val="005C40F2"/>
    <w:rsid w:val="00604E1C"/>
    <w:rsid w:val="00612A94"/>
    <w:rsid w:val="00626C20"/>
    <w:rsid w:val="00633960"/>
    <w:rsid w:val="006528E1"/>
    <w:rsid w:val="006779A9"/>
    <w:rsid w:val="00680E52"/>
    <w:rsid w:val="00691DA0"/>
    <w:rsid w:val="006A4A08"/>
    <w:rsid w:val="006B293D"/>
    <w:rsid w:val="006C080B"/>
    <w:rsid w:val="006C6A83"/>
    <w:rsid w:val="006D0147"/>
    <w:rsid w:val="006F3730"/>
    <w:rsid w:val="006F5FA0"/>
    <w:rsid w:val="00712686"/>
    <w:rsid w:val="0071466E"/>
    <w:rsid w:val="007363A9"/>
    <w:rsid w:val="00740BA4"/>
    <w:rsid w:val="007657B4"/>
    <w:rsid w:val="00777E13"/>
    <w:rsid w:val="007D06CC"/>
    <w:rsid w:val="00814B62"/>
    <w:rsid w:val="0081579D"/>
    <w:rsid w:val="008368D1"/>
    <w:rsid w:val="008422C4"/>
    <w:rsid w:val="00874B5A"/>
    <w:rsid w:val="00876D63"/>
    <w:rsid w:val="00881E12"/>
    <w:rsid w:val="00894F43"/>
    <w:rsid w:val="008C378A"/>
    <w:rsid w:val="008C7778"/>
    <w:rsid w:val="00913A7C"/>
    <w:rsid w:val="00950CCA"/>
    <w:rsid w:val="009813FC"/>
    <w:rsid w:val="009E77C7"/>
    <w:rsid w:val="009F4F85"/>
    <w:rsid w:val="009F5B63"/>
    <w:rsid w:val="00A333BA"/>
    <w:rsid w:val="00A9170C"/>
    <w:rsid w:val="00AE38B1"/>
    <w:rsid w:val="00AE62AB"/>
    <w:rsid w:val="00AF3939"/>
    <w:rsid w:val="00B26312"/>
    <w:rsid w:val="00B5480C"/>
    <w:rsid w:val="00BB5F6C"/>
    <w:rsid w:val="00BC701E"/>
    <w:rsid w:val="00C26B8A"/>
    <w:rsid w:val="00C3175B"/>
    <w:rsid w:val="00C35B24"/>
    <w:rsid w:val="00C72FD6"/>
    <w:rsid w:val="00CA1ED7"/>
    <w:rsid w:val="00CC2E51"/>
    <w:rsid w:val="00CC6309"/>
    <w:rsid w:val="00CC7BF8"/>
    <w:rsid w:val="00D03AE6"/>
    <w:rsid w:val="00D10055"/>
    <w:rsid w:val="00D10AA3"/>
    <w:rsid w:val="00D631C5"/>
    <w:rsid w:val="00DB53E2"/>
    <w:rsid w:val="00DD63F2"/>
    <w:rsid w:val="00DE1BB2"/>
    <w:rsid w:val="00E143DF"/>
    <w:rsid w:val="00E30CE9"/>
    <w:rsid w:val="00E416B7"/>
    <w:rsid w:val="00E45BB1"/>
    <w:rsid w:val="00E57545"/>
    <w:rsid w:val="00E75EBB"/>
    <w:rsid w:val="00E81CC4"/>
    <w:rsid w:val="00E9702A"/>
    <w:rsid w:val="00EA49AA"/>
    <w:rsid w:val="00EB19D5"/>
    <w:rsid w:val="00EB274C"/>
    <w:rsid w:val="00EE7D27"/>
    <w:rsid w:val="00EF307E"/>
    <w:rsid w:val="00EF3BA7"/>
    <w:rsid w:val="00F70926"/>
    <w:rsid w:val="00F90EEC"/>
    <w:rsid w:val="00F92AF0"/>
    <w:rsid w:val="00F93A49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E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5E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5E6"/>
    <w:pPr>
      <w:keepNext/>
      <w:spacing w:before="6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35E6"/>
    <w:pPr>
      <w:keepNext/>
      <w:spacing w:before="6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135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B1358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B13582"/>
    <w:rPr>
      <w:rFonts w:ascii="Calibri" w:hAnsi="Calibri" w:cs="Calibri"/>
      <w:b/>
      <w:b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35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13582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735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1358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735E6"/>
  </w:style>
  <w:style w:type="paragraph" w:styleId="BodyText">
    <w:name w:val="Body Text"/>
    <w:basedOn w:val="Normal"/>
    <w:link w:val="BodyTextChar"/>
    <w:uiPriority w:val="99"/>
    <w:semiHidden/>
    <w:rsid w:val="004735E6"/>
  </w:style>
  <w:style w:type="character" w:customStyle="1" w:styleId="BodyTextChar">
    <w:name w:val="Body Text Char"/>
    <w:link w:val="BodyText"/>
    <w:uiPriority w:val="99"/>
    <w:semiHidden/>
    <w:locked/>
    <w:rsid w:val="00B13582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9A7F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7D3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uiPriority w:val="99"/>
    <w:semiHidden/>
    <w:unhideWhenUsed/>
    <w:rsid w:val="00BA68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682E"/>
    <w:rPr>
      <w:b/>
      <w:bCs/>
      <w:sz w:val="20"/>
      <w:szCs w:val="20"/>
      <w:lang w:val="en-CA" w:eastAsia="en-US"/>
    </w:rPr>
  </w:style>
  <w:style w:type="character" w:styleId="FollowedHyperlink">
    <w:name w:val="FollowedHyperlink"/>
    <w:uiPriority w:val="99"/>
    <w:semiHidden/>
    <w:unhideWhenUsed/>
    <w:rsid w:val="00506A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281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0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C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a.ca/2012%20CCSA%20Documents/CCSA-Patterns-Alcohol-Use-Policy-Canada-2012-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c-sc.gc.ca/hc-ps/drugs-drogues/stat/_2011/tables-tableaux-e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806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Indicators For Public Health In Ontario</vt:lpstr>
    </vt:vector>
  </TitlesOfParts>
  <Company>HKPR District Health Unit</Company>
  <LinksUpToDate>false</LinksUpToDate>
  <CharactersWithSpaces>5517</CharactersWithSpaces>
  <SharedDoc>false</SharedDoc>
  <HLinks>
    <vt:vector size="12" baseType="variant">
      <vt:variant>
        <vt:i4>2621448</vt:i4>
      </vt:variant>
      <vt:variant>
        <vt:i4>3</vt:i4>
      </vt:variant>
      <vt:variant>
        <vt:i4>0</vt:i4>
      </vt:variant>
      <vt:variant>
        <vt:i4>5</vt:i4>
      </vt:variant>
      <vt:variant>
        <vt:lpwstr>http://www.hc-sc.gc.ca/hc-ps/drugs-drogues/stat/_2011/tables-tableaux-eng.php</vt:lpwstr>
      </vt:variant>
      <vt:variant>
        <vt:lpwstr>t8</vt:lpwstr>
      </vt:variant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http://www.ccsa.ca/2012 CCSA Documents/CCSA-Patterns-Alcohol-Use-Policy-Canada-2012-en.pdf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Indicators For Public Health In Ontario</dc:title>
  <dc:creator>User</dc:creator>
  <cp:lastModifiedBy>Natalie Greenidge</cp:lastModifiedBy>
  <cp:revision>7</cp:revision>
  <dcterms:created xsi:type="dcterms:W3CDTF">2013-07-18T13:44:00Z</dcterms:created>
  <dcterms:modified xsi:type="dcterms:W3CDTF">2013-07-18T14:27:00Z</dcterms:modified>
</cp:coreProperties>
</file>