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613" w:rsidRPr="00851613" w:rsidRDefault="00470A52" w:rsidP="00851613">
      <w:pPr>
        <w:spacing w:after="0" w:line="240" w:lineRule="auto"/>
        <w:rPr>
          <w:rFonts w:ascii="Tahoma" w:eastAsia="Times New Roman" w:hAnsi="Tahoma" w:cs="Tahoma"/>
          <w:lang w:eastAsia="en-CA"/>
        </w:rPr>
      </w:pPr>
      <w:r w:rsidRPr="00851613">
        <w:rPr>
          <w:rFonts w:ascii="Tahoma" w:eastAsia="Times New Roman" w:hAnsi="Tahoma" w:cs="Tahoma"/>
          <w:lang w:eastAsia="en-CA"/>
        </w:rPr>
        <w:fldChar w:fldCharType="begin"/>
      </w:r>
      <w:r w:rsidR="00851613" w:rsidRPr="00851613">
        <w:rPr>
          <w:rFonts w:ascii="Tahoma" w:eastAsia="Times New Roman" w:hAnsi="Tahoma" w:cs="Tahoma"/>
          <w:lang w:eastAsia="en-CA"/>
        </w:rPr>
        <w:instrText xml:space="preserve"> HYPERLINK "http://www.apheo.ca/index.php?pid=125" \l "description" </w:instrText>
      </w:r>
      <w:r w:rsidRPr="00851613">
        <w:rPr>
          <w:rFonts w:ascii="Tahoma" w:eastAsia="Times New Roman" w:hAnsi="Tahoma" w:cs="Tahoma"/>
          <w:lang w:eastAsia="en-CA"/>
        </w:rPr>
        <w:fldChar w:fldCharType="separate"/>
      </w:r>
      <w:r w:rsidR="00851613" w:rsidRPr="00851613">
        <w:rPr>
          <w:rFonts w:ascii="Tahoma" w:eastAsia="Times New Roman" w:hAnsi="Tahoma" w:cs="Tahoma"/>
          <w:color w:val="0099CC"/>
          <w:sz w:val="20"/>
          <w:lang w:eastAsia="en-CA"/>
        </w:rPr>
        <w:t>Description</w:t>
      </w:r>
      <w:r w:rsidRPr="00851613">
        <w:rPr>
          <w:rFonts w:ascii="Tahoma" w:eastAsia="Times New Roman" w:hAnsi="Tahoma" w:cs="Tahoma"/>
          <w:lang w:eastAsia="en-CA"/>
        </w:rPr>
        <w:fldChar w:fldCharType="end"/>
      </w:r>
      <w:r w:rsidR="00851613" w:rsidRPr="00851613">
        <w:rPr>
          <w:rFonts w:ascii="Tahoma" w:eastAsia="Times New Roman" w:hAnsi="Tahoma" w:cs="Tahoma"/>
          <w:sz w:val="20"/>
          <w:szCs w:val="20"/>
          <w:lang w:eastAsia="en-CA"/>
        </w:rPr>
        <w:t> | </w:t>
      </w:r>
      <w:hyperlink r:id="rId5" w:anchor="specind" w:history="1">
        <w:r w:rsidR="00851613" w:rsidRPr="00851613">
          <w:rPr>
            <w:rFonts w:ascii="Tahoma" w:eastAsia="Times New Roman" w:hAnsi="Tahoma" w:cs="Tahoma"/>
            <w:color w:val="0099CC"/>
            <w:sz w:val="20"/>
            <w:lang w:eastAsia="en-CA"/>
          </w:rPr>
          <w:t>Specific Indicators</w:t>
        </w:r>
      </w:hyperlink>
      <w:r w:rsidR="00851613" w:rsidRPr="00851613">
        <w:rPr>
          <w:rFonts w:ascii="Tahoma" w:eastAsia="Times New Roman" w:hAnsi="Tahoma" w:cs="Tahoma"/>
          <w:sz w:val="20"/>
          <w:szCs w:val="20"/>
          <w:lang w:eastAsia="en-CA"/>
        </w:rPr>
        <w:t> | </w:t>
      </w:r>
      <w:hyperlink r:id="rId6" w:anchor="mandatory" w:history="1">
        <w:r w:rsidR="00851613" w:rsidRPr="00851613">
          <w:rPr>
            <w:rFonts w:ascii="Tahoma" w:eastAsia="Times New Roman" w:hAnsi="Tahoma" w:cs="Tahoma"/>
            <w:color w:val="0099CC"/>
            <w:sz w:val="20"/>
            <w:lang w:eastAsia="en-CA"/>
          </w:rPr>
          <w:t>Ontario Public Health Standards (OPHS)|</w:t>
        </w:r>
      </w:hyperlink>
      <w:r w:rsidR="00851613" w:rsidRPr="00851613">
        <w:rPr>
          <w:rFonts w:ascii="Tahoma" w:eastAsia="Times New Roman" w:hAnsi="Tahoma" w:cs="Tahoma"/>
          <w:sz w:val="20"/>
          <w:szCs w:val="20"/>
          <w:lang w:eastAsia="en-CA"/>
        </w:rPr>
        <w:t> </w:t>
      </w:r>
      <w:hyperlink r:id="rId7" w:anchor="national" w:history="1">
        <w:r w:rsidR="00851613" w:rsidRPr="00851613">
          <w:rPr>
            <w:rFonts w:ascii="Tahoma" w:eastAsia="Times New Roman" w:hAnsi="Tahoma" w:cs="Tahoma"/>
            <w:color w:val="0099CC"/>
            <w:sz w:val="20"/>
            <w:lang w:eastAsia="en-CA"/>
          </w:rPr>
          <w:t>Corresponding Health Indicator(s) from Statistics Canada and CIHI</w:t>
        </w:r>
      </w:hyperlink>
      <w:r w:rsidR="00851613" w:rsidRPr="00851613">
        <w:rPr>
          <w:rFonts w:ascii="Tahoma" w:eastAsia="Times New Roman" w:hAnsi="Tahoma" w:cs="Tahoma"/>
          <w:sz w:val="20"/>
          <w:szCs w:val="20"/>
          <w:lang w:eastAsia="en-CA"/>
        </w:rPr>
        <w:t xml:space="preserve"> | </w:t>
      </w:r>
      <w:hyperlink r:id="rId8" w:anchor="other sources" w:history="1">
        <w:r w:rsidR="00851613" w:rsidRPr="00851613">
          <w:rPr>
            <w:rFonts w:ascii="Arial" w:eastAsia="Times New Roman" w:hAnsi="Arial" w:cs="Arial"/>
            <w:color w:val="0099CC"/>
            <w:sz w:val="20"/>
            <w:lang w:eastAsia="en-CA"/>
          </w:rPr>
          <w:t>Corresponding Indicator(s) from Other Sources</w:t>
        </w:r>
      </w:hyperlink>
      <w:r w:rsidR="00851613" w:rsidRPr="00851613">
        <w:rPr>
          <w:rFonts w:ascii="Tahoma" w:eastAsia="Times New Roman" w:hAnsi="Tahoma" w:cs="Tahoma"/>
          <w:sz w:val="20"/>
          <w:szCs w:val="20"/>
          <w:lang w:eastAsia="en-CA"/>
        </w:rPr>
        <w:t xml:space="preserve"> | </w:t>
      </w:r>
      <w:hyperlink r:id="rId9" w:anchor="datasources" w:history="1">
        <w:r w:rsidR="00851613" w:rsidRPr="00851613">
          <w:rPr>
            <w:rFonts w:ascii="Tahoma" w:eastAsia="Times New Roman" w:hAnsi="Tahoma" w:cs="Tahoma"/>
            <w:color w:val="0099CC"/>
            <w:sz w:val="20"/>
            <w:lang w:eastAsia="en-CA"/>
          </w:rPr>
          <w:t>Data Sources</w:t>
        </w:r>
      </w:hyperlink>
      <w:r w:rsidR="00851613" w:rsidRPr="00851613">
        <w:rPr>
          <w:rFonts w:ascii="Tahoma" w:eastAsia="Times New Roman" w:hAnsi="Tahoma" w:cs="Tahoma"/>
          <w:sz w:val="20"/>
          <w:szCs w:val="20"/>
          <w:lang w:eastAsia="en-CA"/>
        </w:rPr>
        <w:t xml:space="preserve"> |  </w:t>
      </w:r>
      <w:hyperlink r:id="rId10" w:anchor="SurveyQuestions" w:history="1">
        <w:r w:rsidR="00851613" w:rsidRPr="00851613">
          <w:rPr>
            <w:rFonts w:ascii="Tahoma" w:eastAsia="Times New Roman" w:hAnsi="Tahoma" w:cs="Tahoma"/>
            <w:color w:val="0099CC"/>
            <w:sz w:val="20"/>
            <w:lang w:eastAsia="en-CA"/>
          </w:rPr>
          <w:t>Survey Questions</w:t>
        </w:r>
      </w:hyperlink>
      <w:r w:rsidR="00851613" w:rsidRPr="00851613">
        <w:rPr>
          <w:rFonts w:ascii="Tahoma" w:eastAsia="Times New Roman" w:hAnsi="Tahoma" w:cs="Tahoma"/>
          <w:sz w:val="20"/>
          <w:szCs w:val="20"/>
          <w:lang w:eastAsia="en-CA"/>
        </w:rPr>
        <w:t xml:space="preserve"> | </w:t>
      </w:r>
      <w:hyperlink r:id="rId11" w:anchor="alternative" w:history="1">
        <w:r w:rsidR="00851613" w:rsidRPr="00851613">
          <w:rPr>
            <w:rFonts w:ascii="Tahoma" w:eastAsia="Times New Roman" w:hAnsi="Tahoma" w:cs="Tahoma"/>
            <w:color w:val="0099CC"/>
            <w:sz w:val="20"/>
            <w:lang w:eastAsia="en-CA"/>
          </w:rPr>
          <w:t>Alternative Data Sources</w:t>
        </w:r>
      </w:hyperlink>
      <w:r w:rsidR="00851613" w:rsidRPr="00851613">
        <w:rPr>
          <w:rFonts w:ascii="Tahoma" w:eastAsia="Times New Roman" w:hAnsi="Tahoma" w:cs="Tahoma"/>
          <w:sz w:val="20"/>
          <w:szCs w:val="20"/>
          <w:lang w:eastAsia="en-CA"/>
        </w:rPr>
        <w:t> | </w:t>
      </w:r>
      <w:hyperlink r:id="rId12" w:anchor="icd" w:history="1">
        <w:r w:rsidR="00851613" w:rsidRPr="00851613">
          <w:rPr>
            <w:rFonts w:ascii="Tahoma" w:eastAsia="Times New Roman" w:hAnsi="Tahoma" w:cs="Tahoma"/>
            <w:color w:val="0099CC"/>
            <w:sz w:val="20"/>
            <w:lang w:eastAsia="en-CA"/>
          </w:rPr>
          <w:t>ICD Codes</w:t>
        </w:r>
      </w:hyperlink>
      <w:r w:rsidR="00851613" w:rsidRPr="00851613">
        <w:rPr>
          <w:rFonts w:ascii="Tahoma" w:eastAsia="Times New Roman" w:hAnsi="Tahoma" w:cs="Tahoma"/>
          <w:sz w:val="20"/>
          <w:szCs w:val="20"/>
          <w:lang w:eastAsia="en-CA"/>
        </w:rPr>
        <w:t> | </w:t>
      </w:r>
      <w:hyperlink r:id="rId13" w:anchor="analysis" w:history="1">
        <w:r w:rsidR="00851613" w:rsidRPr="00851613">
          <w:rPr>
            <w:rFonts w:ascii="Tahoma" w:eastAsia="Times New Roman" w:hAnsi="Tahoma" w:cs="Tahoma"/>
            <w:color w:val="0099CC"/>
            <w:sz w:val="20"/>
            <w:lang w:eastAsia="en-CA"/>
          </w:rPr>
          <w:t>Analysis Check List</w:t>
        </w:r>
      </w:hyperlink>
      <w:r w:rsidR="00851613" w:rsidRPr="00851613">
        <w:rPr>
          <w:rFonts w:ascii="Tahoma" w:eastAsia="Times New Roman" w:hAnsi="Tahoma" w:cs="Tahoma"/>
          <w:sz w:val="20"/>
          <w:szCs w:val="20"/>
          <w:lang w:eastAsia="en-CA"/>
        </w:rPr>
        <w:t> | </w:t>
      </w:r>
      <w:hyperlink r:id="rId14" w:anchor="calculation" w:history="1">
        <w:r w:rsidR="00851613" w:rsidRPr="00851613">
          <w:rPr>
            <w:rFonts w:ascii="Tahoma" w:eastAsia="Times New Roman" w:hAnsi="Tahoma" w:cs="Tahoma"/>
            <w:color w:val="0099CC"/>
            <w:sz w:val="20"/>
            <w:lang w:eastAsia="en-CA"/>
          </w:rPr>
          <w:t>Method of Calculation</w:t>
        </w:r>
      </w:hyperlink>
      <w:r w:rsidR="00851613" w:rsidRPr="00851613">
        <w:rPr>
          <w:rFonts w:ascii="Tahoma" w:eastAsia="Times New Roman" w:hAnsi="Tahoma" w:cs="Tahoma"/>
          <w:sz w:val="20"/>
          <w:szCs w:val="20"/>
          <w:lang w:eastAsia="en-CA"/>
        </w:rPr>
        <w:t xml:space="preserve"> |  </w:t>
      </w:r>
      <w:hyperlink r:id="rId15" w:anchor="Basic Categories" w:history="1">
        <w:r w:rsidR="00851613" w:rsidRPr="00851613">
          <w:rPr>
            <w:rFonts w:ascii="Tahoma" w:eastAsia="Times New Roman" w:hAnsi="Tahoma" w:cs="Tahoma"/>
            <w:color w:val="0099CC"/>
            <w:sz w:val="20"/>
            <w:lang w:eastAsia="en-CA"/>
          </w:rPr>
          <w:t>Basic Categories</w:t>
        </w:r>
      </w:hyperlink>
      <w:r w:rsidR="00851613" w:rsidRPr="00851613">
        <w:rPr>
          <w:rFonts w:ascii="Tahoma" w:eastAsia="Times New Roman" w:hAnsi="Tahoma" w:cs="Tahoma"/>
          <w:sz w:val="20"/>
          <w:szCs w:val="20"/>
          <w:lang w:eastAsia="en-CA"/>
        </w:rPr>
        <w:t> | </w:t>
      </w:r>
      <w:hyperlink r:id="rId16" w:anchor="comments" w:history="1">
        <w:r w:rsidR="00851613" w:rsidRPr="00851613">
          <w:rPr>
            <w:rFonts w:ascii="Tahoma" w:eastAsia="Times New Roman" w:hAnsi="Tahoma" w:cs="Tahoma"/>
            <w:color w:val="0099CC"/>
            <w:sz w:val="20"/>
            <w:lang w:eastAsia="en-CA"/>
          </w:rPr>
          <w:t>Indicator Comments</w:t>
        </w:r>
      </w:hyperlink>
      <w:r w:rsidR="00851613" w:rsidRPr="00851613">
        <w:rPr>
          <w:rFonts w:ascii="Tahoma" w:eastAsia="Times New Roman" w:hAnsi="Tahoma" w:cs="Tahoma"/>
          <w:sz w:val="20"/>
          <w:szCs w:val="20"/>
          <w:lang w:eastAsia="en-CA"/>
        </w:rPr>
        <w:t> | </w:t>
      </w:r>
      <w:hyperlink r:id="rId17" w:anchor="definitions" w:history="1">
        <w:r w:rsidR="00851613" w:rsidRPr="00851613">
          <w:rPr>
            <w:rFonts w:ascii="Tahoma" w:eastAsia="Times New Roman" w:hAnsi="Tahoma" w:cs="Tahoma"/>
            <w:color w:val="0099CC"/>
            <w:sz w:val="20"/>
            <w:lang w:eastAsia="en-CA"/>
          </w:rPr>
          <w:t>Definitions</w:t>
        </w:r>
      </w:hyperlink>
      <w:r w:rsidR="00851613" w:rsidRPr="00851613">
        <w:rPr>
          <w:rFonts w:ascii="Tahoma" w:eastAsia="Times New Roman" w:hAnsi="Tahoma" w:cs="Tahoma"/>
          <w:sz w:val="20"/>
          <w:szCs w:val="20"/>
          <w:lang w:eastAsia="en-CA"/>
        </w:rPr>
        <w:t xml:space="preserve">| </w:t>
      </w:r>
      <w:hyperlink r:id="rId18" w:anchor="cross" w:history="1">
        <w:r w:rsidR="00851613" w:rsidRPr="00851613">
          <w:rPr>
            <w:rFonts w:ascii="Tahoma" w:eastAsia="Times New Roman" w:hAnsi="Tahoma" w:cs="Tahoma"/>
            <w:color w:val="0099CC"/>
            <w:sz w:val="20"/>
            <w:lang w:eastAsia="en-CA"/>
          </w:rPr>
          <w:t>Cross-References to Other Indicators</w:t>
        </w:r>
      </w:hyperlink>
      <w:r w:rsidR="00851613" w:rsidRPr="00851613">
        <w:rPr>
          <w:rFonts w:ascii="Tahoma" w:eastAsia="Times New Roman" w:hAnsi="Tahoma" w:cs="Tahoma"/>
          <w:sz w:val="20"/>
          <w:szCs w:val="20"/>
          <w:lang w:eastAsia="en-CA"/>
        </w:rPr>
        <w:t>| </w:t>
      </w:r>
      <w:hyperlink r:id="rId19" w:anchor="references" w:history="1">
        <w:r w:rsidR="00851613" w:rsidRPr="00851613">
          <w:rPr>
            <w:rFonts w:ascii="Tahoma" w:eastAsia="Times New Roman" w:hAnsi="Tahoma" w:cs="Tahoma"/>
            <w:color w:val="0099CC"/>
            <w:sz w:val="20"/>
            <w:lang w:eastAsia="en-CA"/>
          </w:rPr>
          <w:t xml:space="preserve">Cited </w:t>
        </w:r>
      </w:hyperlink>
      <w:hyperlink r:id="rId20" w:anchor="references" w:history="1">
        <w:r w:rsidR="00851613" w:rsidRPr="00851613">
          <w:rPr>
            <w:rFonts w:ascii="Tahoma" w:eastAsia="Times New Roman" w:hAnsi="Tahoma" w:cs="Tahoma"/>
            <w:color w:val="0099CC"/>
            <w:sz w:val="20"/>
            <w:lang w:eastAsia="en-CA"/>
          </w:rPr>
          <w:t>References</w:t>
        </w:r>
      </w:hyperlink>
      <w:r w:rsidR="00851613" w:rsidRPr="00851613">
        <w:rPr>
          <w:rFonts w:ascii="Tahoma" w:eastAsia="Times New Roman" w:hAnsi="Tahoma" w:cs="Tahoma"/>
          <w:sz w:val="20"/>
          <w:szCs w:val="20"/>
          <w:lang w:eastAsia="en-CA"/>
        </w:rPr>
        <w:t xml:space="preserve"> | </w:t>
      </w:r>
      <w:hyperlink r:id="rId21" w:anchor="Other references" w:history="1">
        <w:r w:rsidR="00851613" w:rsidRPr="00851613">
          <w:rPr>
            <w:rFonts w:ascii="Tahoma" w:eastAsia="Times New Roman" w:hAnsi="Tahoma" w:cs="Tahoma"/>
            <w:color w:val="0099CC"/>
            <w:sz w:val="20"/>
            <w:lang w:eastAsia="en-CA"/>
          </w:rPr>
          <w:t>Other References</w:t>
        </w:r>
      </w:hyperlink>
      <w:r w:rsidR="00851613" w:rsidRPr="00851613">
        <w:rPr>
          <w:rFonts w:ascii="Tahoma" w:eastAsia="Times New Roman" w:hAnsi="Tahoma" w:cs="Tahoma"/>
          <w:sz w:val="20"/>
          <w:szCs w:val="20"/>
          <w:lang w:eastAsia="en-CA"/>
        </w:rPr>
        <w:t xml:space="preserve">  | </w:t>
      </w:r>
      <w:hyperlink r:id="rId22" w:anchor="acknowledgements" w:history="1">
        <w:r w:rsidR="00851613" w:rsidRPr="00851613">
          <w:rPr>
            <w:rFonts w:ascii="Arial" w:eastAsia="Times New Roman" w:hAnsi="Arial" w:cs="Arial"/>
            <w:color w:val="0099CC"/>
            <w:sz w:val="20"/>
            <w:lang w:eastAsia="en-CA"/>
          </w:rPr>
          <w:t>Acknowledgements</w:t>
        </w:r>
      </w:hyperlink>
      <w:r w:rsidR="00851613" w:rsidRPr="00851613">
        <w:rPr>
          <w:rFonts w:ascii="Tahoma" w:eastAsia="Times New Roman" w:hAnsi="Tahoma" w:cs="Tahoma"/>
          <w:sz w:val="20"/>
          <w:szCs w:val="20"/>
          <w:lang w:eastAsia="en-CA"/>
        </w:rPr>
        <w:t xml:space="preserve"> | </w:t>
      </w:r>
      <w:hyperlink r:id="rId23" w:anchor="Changes Made" w:history="1">
        <w:r w:rsidR="00851613" w:rsidRPr="00851613">
          <w:rPr>
            <w:rFonts w:ascii="Tahoma" w:eastAsia="Times New Roman" w:hAnsi="Tahoma" w:cs="Tahoma"/>
            <w:color w:val="0099CC"/>
            <w:sz w:val="20"/>
            <w:lang w:eastAsia="en-CA"/>
          </w:rPr>
          <w:t>Changes Made</w:t>
        </w:r>
      </w:hyperlink>
      <w:r w:rsidR="00851613" w:rsidRPr="00851613">
        <w:rPr>
          <w:rFonts w:ascii="Tahoma" w:eastAsia="Times New Roman" w:hAnsi="Tahoma" w:cs="Tahoma"/>
          <w:lang w:eastAsia="en-CA"/>
        </w:rPr>
        <w:t xml:space="preserve"> </w:t>
      </w:r>
    </w:p>
    <w:p w:rsidR="00851613" w:rsidRPr="00851613" w:rsidRDefault="00851613" w:rsidP="00851613">
      <w:pPr>
        <w:spacing w:before="100" w:beforeAutospacing="1" w:after="100" w:afterAutospacing="1" w:line="240" w:lineRule="auto"/>
        <w:rPr>
          <w:rFonts w:ascii="Tahoma" w:eastAsia="Times New Roman" w:hAnsi="Tahoma" w:cs="Tahoma"/>
          <w:lang w:eastAsia="en-CA"/>
        </w:rPr>
      </w:pPr>
      <w:r w:rsidRPr="00851613">
        <w:rPr>
          <w:rFonts w:ascii="Tahoma" w:eastAsia="Times New Roman" w:hAnsi="Tahoma" w:cs="Tahoma"/>
          <w:sz w:val="20"/>
          <w:szCs w:val="20"/>
          <w:lang w:eastAsia="en-CA"/>
        </w:rPr>
        <w:t> </w:t>
      </w:r>
      <w:bookmarkStart w:id="0" w:name="description"/>
      <w:bookmarkEnd w:id="0"/>
      <w:r w:rsidRPr="00851613">
        <w:rPr>
          <w:rFonts w:ascii="Tahoma" w:eastAsia="Times New Roman" w:hAnsi="Tahoma" w:cs="Tahoma"/>
          <w:b/>
          <w:bCs/>
          <w:sz w:val="24"/>
          <w:szCs w:val="24"/>
          <w:lang w:eastAsia="en-CA"/>
        </w:rPr>
        <w:t>Description</w:t>
      </w:r>
      <w:r w:rsidRPr="00851613">
        <w:rPr>
          <w:rFonts w:ascii="Tahoma" w:eastAsia="Times New Roman" w:hAnsi="Tahoma" w:cs="Tahoma"/>
          <w:b/>
          <w:bCs/>
          <w:sz w:val="20"/>
          <w:lang w:eastAsia="en-CA"/>
        </w:rPr>
        <w:t xml:space="preserve"> </w:t>
      </w:r>
    </w:p>
    <w:p w:rsidR="00851613" w:rsidRPr="00851613" w:rsidRDefault="00851613" w:rsidP="00851613">
      <w:pPr>
        <w:spacing w:before="100" w:beforeAutospacing="1" w:after="100" w:afterAutospacing="1" w:line="240" w:lineRule="auto"/>
        <w:rPr>
          <w:rFonts w:ascii="Tahoma" w:eastAsia="Times New Roman" w:hAnsi="Tahoma" w:cs="Tahoma"/>
          <w:lang w:eastAsia="en-CA"/>
        </w:rPr>
      </w:pPr>
      <w:r>
        <w:rPr>
          <w:rFonts w:ascii="Tahoma" w:eastAsia="Times New Roman" w:hAnsi="Tahoma" w:cs="Tahoma"/>
          <w:sz w:val="20"/>
          <w:szCs w:val="20"/>
          <w:lang w:eastAsia="en-CA"/>
        </w:rPr>
        <w:t>Sense of community belonging:</w:t>
      </w:r>
    </w:p>
    <w:p w:rsidR="00851613" w:rsidRPr="00851613" w:rsidRDefault="00851613" w:rsidP="00851613">
      <w:pPr>
        <w:numPr>
          <w:ilvl w:val="0"/>
          <w:numId w:val="1"/>
        </w:numPr>
        <w:spacing w:before="100" w:beforeAutospacing="1" w:after="100" w:afterAutospacing="1" w:line="240" w:lineRule="auto"/>
        <w:rPr>
          <w:rFonts w:ascii="Tahoma" w:eastAsia="Times New Roman" w:hAnsi="Tahoma" w:cs="Tahoma"/>
          <w:lang w:eastAsia="en-CA"/>
        </w:rPr>
      </w:pPr>
      <w:r>
        <w:rPr>
          <w:rFonts w:ascii="Tahoma" w:eastAsia="Times New Roman" w:hAnsi="Tahoma" w:cs="Tahoma"/>
          <w:sz w:val="20"/>
          <w:szCs w:val="20"/>
          <w:lang w:eastAsia="en-CA"/>
        </w:rPr>
        <w:t xml:space="preserve">Proportion of the population who feel a somewhat strong or very strong sense of community belonging. </w:t>
      </w:r>
    </w:p>
    <w:p w:rsidR="00851613" w:rsidRPr="00851613" w:rsidRDefault="00851613" w:rsidP="00851613">
      <w:pPr>
        <w:spacing w:before="100" w:beforeAutospacing="1" w:after="100" w:afterAutospacing="1" w:line="240" w:lineRule="auto"/>
        <w:rPr>
          <w:rFonts w:ascii="Tahoma" w:eastAsia="Times New Roman" w:hAnsi="Tahoma" w:cs="Tahoma"/>
          <w:lang w:eastAsia="en-CA"/>
        </w:rPr>
      </w:pPr>
      <w:r w:rsidRPr="00851613">
        <w:rPr>
          <w:rFonts w:ascii="Tahoma" w:eastAsia="Times New Roman" w:hAnsi="Tahoma" w:cs="Tahoma"/>
          <w:sz w:val="20"/>
          <w:szCs w:val="20"/>
          <w:lang w:eastAsia="en-CA"/>
        </w:rPr>
        <w:t> </w:t>
      </w:r>
      <w:bookmarkStart w:id="1" w:name="specind"/>
      <w:bookmarkEnd w:id="1"/>
      <w:r w:rsidRPr="00851613">
        <w:rPr>
          <w:rFonts w:ascii="Tahoma" w:eastAsia="Times New Roman" w:hAnsi="Tahoma" w:cs="Tahoma"/>
          <w:b/>
          <w:bCs/>
          <w:sz w:val="24"/>
          <w:szCs w:val="24"/>
          <w:lang w:eastAsia="en-CA"/>
        </w:rPr>
        <w:t>Specific Indicators</w:t>
      </w:r>
      <w:r w:rsidRPr="00851613">
        <w:rPr>
          <w:rFonts w:ascii="Tahoma" w:eastAsia="Times New Roman" w:hAnsi="Tahoma" w:cs="Tahoma"/>
          <w:sz w:val="20"/>
          <w:szCs w:val="20"/>
          <w:lang w:eastAsia="en-CA"/>
        </w:rPr>
        <w:t xml:space="preserve"> </w:t>
      </w:r>
    </w:p>
    <w:p w:rsidR="00851613" w:rsidRPr="00851613" w:rsidRDefault="00851613" w:rsidP="00851613">
      <w:pPr>
        <w:numPr>
          <w:ilvl w:val="0"/>
          <w:numId w:val="3"/>
        </w:numPr>
        <w:spacing w:before="100" w:beforeAutospacing="1" w:after="100" w:afterAutospacing="1" w:line="240" w:lineRule="auto"/>
        <w:rPr>
          <w:rFonts w:ascii="Tahoma" w:eastAsia="Times New Roman" w:hAnsi="Tahoma" w:cs="Tahoma"/>
          <w:lang w:eastAsia="en-CA"/>
        </w:rPr>
      </w:pPr>
      <w:r>
        <w:rPr>
          <w:rFonts w:ascii="Tahoma" w:eastAsia="Times New Roman" w:hAnsi="Tahoma" w:cs="Tahoma"/>
          <w:sz w:val="20"/>
          <w:szCs w:val="20"/>
          <w:lang w:eastAsia="en-CA"/>
        </w:rPr>
        <w:t>Sense of community belonging</w:t>
      </w:r>
    </w:p>
    <w:p w:rsidR="00851613" w:rsidRPr="00851613" w:rsidRDefault="00851613" w:rsidP="00851613">
      <w:pPr>
        <w:spacing w:before="100" w:beforeAutospacing="1" w:after="100" w:afterAutospacing="1" w:line="240" w:lineRule="auto"/>
        <w:rPr>
          <w:rFonts w:ascii="Tahoma" w:eastAsia="Times New Roman" w:hAnsi="Tahoma" w:cs="Tahoma"/>
          <w:lang w:eastAsia="en-CA"/>
        </w:rPr>
      </w:pPr>
      <w:bookmarkStart w:id="2" w:name="mandatory"/>
      <w:bookmarkEnd w:id="2"/>
      <w:r w:rsidRPr="00851613">
        <w:rPr>
          <w:rFonts w:ascii="Tahoma" w:eastAsia="Times New Roman" w:hAnsi="Tahoma" w:cs="Tahoma"/>
          <w:b/>
          <w:bCs/>
          <w:sz w:val="24"/>
          <w:szCs w:val="24"/>
          <w:lang w:eastAsia="en-CA"/>
        </w:rPr>
        <w:t>Ontario Public Health Standards (OPHS)</w:t>
      </w:r>
    </w:p>
    <w:p w:rsidR="00851613" w:rsidRPr="00851613" w:rsidRDefault="00851613" w:rsidP="00DB6F82">
      <w:pPr>
        <w:spacing w:before="100" w:beforeAutospacing="1" w:after="100" w:afterAutospacing="1" w:line="240" w:lineRule="auto"/>
        <w:rPr>
          <w:rFonts w:ascii="Tahoma" w:eastAsia="Times New Roman" w:hAnsi="Tahoma" w:cs="Tahoma"/>
          <w:lang w:eastAsia="en-CA"/>
        </w:rPr>
      </w:pPr>
      <w:r w:rsidRPr="00851613">
        <w:rPr>
          <w:rFonts w:ascii="Tahoma" w:eastAsia="Times New Roman" w:hAnsi="Tahoma" w:cs="Tahoma"/>
          <w:sz w:val="20"/>
          <w:szCs w:val="20"/>
          <w:lang w:eastAsia="en-CA"/>
        </w:rPr>
        <w:t> The Ontario Public Health Standards (OPHS) establish requirements for the fundamental public health programs and services carried out by boards of health, which include assessment and surveillance, health promotion and policy development, disease and injury prevention, and health protection. The OPHS consist of one Foundational Standard and 13 Program Standards that articulate broad societal goals that result from the activities undertaken by boards of health and many others, including community partners, non-governmental organizations, and governmental bodies. These results have been expressed in terms of two levels of outcomes: societal outcomes and board of health outcomes. Societal outcomes entail changes in health status, organizations, systems, norms, policies, environments, and practices and result from the work of many sectors of society, including boards of health, for the improvement of the overall health of the population. Board of health outcomes are the results of endeavours by boards of health and often focus on changes in awareness, knowledge, attitudes, skills, practices, environments, and policies. Boards of health are accountable for these outcomes. The standards also outline the requirements that boards of health must implement to achieve the stated results.</w:t>
      </w:r>
    </w:p>
    <w:p w:rsidR="00851613" w:rsidRPr="00851613" w:rsidRDefault="00851613" w:rsidP="00851613">
      <w:pPr>
        <w:spacing w:before="100" w:beforeAutospacing="1" w:after="100" w:afterAutospacing="1" w:line="240" w:lineRule="auto"/>
        <w:rPr>
          <w:rFonts w:ascii="Tahoma" w:eastAsia="Times New Roman" w:hAnsi="Tahoma" w:cs="Tahoma"/>
          <w:lang w:eastAsia="en-CA"/>
        </w:rPr>
      </w:pPr>
      <w:r w:rsidRPr="00851613">
        <w:rPr>
          <w:rFonts w:ascii="Tahoma" w:eastAsia="Times New Roman" w:hAnsi="Tahoma" w:cs="Tahoma"/>
          <w:b/>
          <w:bCs/>
          <w:sz w:val="20"/>
          <w:lang w:eastAsia="en-CA"/>
        </w:rPr>
        <w:t>Outcomes Related to this Indicator</w:t>
      </w:r>
      <w:r w:rsidRPr="00851613">
        <w:rPr>
          <w:rFonts w:ascii="Tahoma" w:eastAsia="Times New Roman" w:hAnsi="Tahoma" w:cs="Tahoma"/>
          <w:sz w:val="20"/>
          <w:szCs w:val="20"/>
          <w:lang w:eastAsia="en-CA"/>
        </w:rPr>
        <w:t> </w:t>
      </w:r>
    </w:p>
    <w:p w:rsidR="00851613" w:rsidRPr="00851613" w:rsidRDefault="00851613" w:rsidP="00851613">
      <w:pPr>
        <w:numPr>
          <w:ilvl w:val="0"/>
          <w:numId w:val="5"/>
        </w:numPr>
        <w:spacing w:before="100" w:beforeAutospacing="1" w:after="100" w:afterAutospacing="1" w:line="240" w:lineRule="auto"/>
        <w:rPr>
          <w:rFonts w:ascii="Tahoma" w:eastAsia="Times New Roman" w:hAnsi="Tahoma" w:cs="Tahoma"/>
          <w:lang w:eastAsia="en-CA"/>
        </w:rPr>
      </w:pPr>
      <w:r w:rsidRPr="00851613">
        <w:rPr>
          <w:rFonts w:ascii="Tahoma" w:eastAsia="Times New Roman" w:hAnsi="Tahoma" w:cs="Tahoma"/>
          <w:sz w:val="20"/>
          <w:szCs w:val="20"/>
          <w:lang w:eastAsia="en-CA"/>
        </w:rPr>
        <w:t xml:space="preserve">Societal Outcome (Chronic Disease Prevention): An increased proportion of the population lives, works, plays, and learns in healthy environments that contribute to chronic disease prevention. </w:t>
      </w:r>
    </w:p>
    <w:p w:rsidR="00851613" w:rsidRPr="00851613" w:rsidRDefault="00851613" w:rsidP="00851613">
      <w:pPr>
        <w:numPr>
          <w:ilvl w:val="0"/>
          <w:numId w:val="5"/>
        </w:numPr>
        <w:spacing w:before="100" w:beforeAutospacing="1" w:after="100" w:afterAutospacing="1" w:line="240" w:lineRule="auto"/>
        <w:rPr>
          <w:rFonts w:ascii="Tahoma" w:eastAsia="Times New Roman" w:hAnsi="Tahoma" w:cs="Tahoma"/>
          <w:lang w:eastAsia="en-CA"/>
        </w:rPr>
      </w:pPr>
      <w:r w:rsidRPr="00851613">
        <w:rPr>
          <w:rFonts w:ascii="Tahoma" w:eastAsia="Times New Roman" w:hAnsi="Tahoma" w:cs="Tahoma"/>
          <w:sz w:val="20"/>
          <w:szCs w:val="20"/>
          <w:lang w:eastAsia="en-CA"/>
        </w:rPr>
        <w:t xml:space="preserve">Societal Outcome (Chronic Disease Prevention): There is increased adoption of behaviours and skills associated with reducing the risk of chronic diseases of public health importance. </w:t>
      </w:r>
    </w:p>
    <w:p w:rsidR="00851613" w:rsidRPr="00851613" w:rsidRDefault="00851613" w:rsidP="00851613">
      <w:pPr>
        <w:numPr>
          <w:ilvl w:val="0"/>
          <w:numId w:val="5"/>
        </w:numPr>
        <w:spacing w:before="100" w:beforeAutospacing="1" w:after="100" w:afterAutospacing="1" w:line="240" w:lineRule="auto"/>
        <w:rPr>
          <w:rFonts w:ascii="Tahoma" w:eastAsia="Times New Roman" w:hAnsi="Tahoma" w:cs="Tahoma"/>
          <w:lang w:eastAsia="en-CA"/>
        </w:rPr>
      </w:pPr>
      <w:r w:rsidRPr="00851613">
        <w:rPr>
          <w:rFonts w:ascii="Tahoma" w:eastAsia="Times New Roman" w:hAnsi="Tahoma" w:cs="Tahoma"/>
          <w:sz w:val="20"/>
          <w:szCs w:val="20"/>
          <w:lang w:eastAsia="en-CA"/>
        </w:rPr>
        <w:t xml:space="preserve">Societal Outcome (Reproductive Health): An increased proportion of individuals in their reproductive years are physically, emotionally, and socially prepared for conception. </w:t>
      </w:r>
    </w:p>
    <w:p w:rsidR="00851613" w:rsidRPr="00851613" w:rsidRDefault="00851613" w:rsidP="00851613">
      <w:pPr>
        <w:numPr>
          <w:ilvl w:val="0"/>
          <w:numId w:val="5"/>
        </w:numPr>
        <w:spacing w:before="100" w:beforeAutospacing="1" w:after="100" w:afterAutospacing="1" w:line="240" w:lineRule="auto"/>
        <w:rPr>
          <w:rFonts w:ascii="Tahoma" w:eastAsia="Times New Roman" w:hAnsi="Tahoma" w:cs="Tahoma"/>
          <w:lang w:eastAsia="en-CA"/>
        </w:rPr>
      </w:pPr>
      <w:r w:rsidRPr="00851613">
        <w:rPr>
          <w:rFonts w:ascii="Tahoma" w:eastAsia="Times New Roman" w:hAnsi="Tahoma" w:cs="Tahoma"/>
          <w:sz w:val="20"/>
          <w:szCs w:val="20"/>
          <w:lang w:eastAsia="en-CA"/>
        </w:rPr>
        <w:t>Board of Health Outcome (</w:t>
      </w:r>
      <w:r>
        <w:rPr>
          <w:rFonts w:ascii="Tahoma" w:eastAsia="Times New Roman" w:hAnsi="Tahoma" w:cs="Tahoma"/>
          <w:sz w:val="20"/>
          <w:szCs w:val="20"/>
          <w:lang w:eastAsia="en-CA"/>
        </w:rPr>
        <w:t>Foundational Standard</w:t>
      </w:r>
      <w:r w:rsidRPr="00851613">
        <w:rPr>
          <w:rFonts w:ascii="Tahoma" w:eastAsia="Times New Roman" w:hAnsi="Tahoma" w:cs="Tahoma"/>
          <w:sz w:val="20"/>
          <w:szCs w:val="20"/>
          <w:lang w:eastAsia="en-CA"/>
        </w:rPr>
        <w:t xml:space="preserve">): </w:t>
      </w:r>
      <w:r>
        <w:rPr>
          <w:rFonts w:ascii="Tahoma" w:eastAsia="Times New Roman" w:hAnsi="Tahoma" w:cs="Tahoma"/>
          <w:sz w:val="20"/>
          <w:szCs w:val="20"/>
          <w:lang w:eastAsia="en-CA"/>
        </w:rPr>
        <w:t>Public health practitioners, policy-makers, community partners, health care providers, and the public are aware of the best available research regarding the factors that determine the health of the population and support effective public health practice.</w:t>
      </w:r>
      <w:r w:rsidRPr="00851613">
        <w:rPr>
          <w:rFonts w:ascii="Tahoma" w:eastAsia="Times New Roman" w:hAnsi="Tahoma" w:cs="Tahoma"/>
          <w:sz w:val="20"/>
          <w:szCs w:val="20"/>
          <w:lang w:eastAsia="en-CA"/>
        </w:rPr>
        <w:t xml:space="preserve"> </w:t>
      </w:r>
    </w:p>
    <w:p w:rsidR="00851613" w:rsidRPr="00851613" w:rsidRDefault="00851613" w:rsidP="00851613">
      <w:pPr>
        <w:spacing w:before="100" w:beforeAutospacing="1" w:after="100" w:afterAutospacing="1" w:line="240" w:lineRule="auto"/>
        <w:rPr>
          <w:rFonts w:ascii="Tahoma" w:eastAsia="Times New Roman" w:hAnsi="Tahoma" w:cs="Tahoma"/>
          <w:lang w:eastAsia="en-CA"/>
        </w:rPr>
      </w:pPr>
      <w:r w:rsidRPr="00851613">
        <w:rPr>
          <w:rFonts w:ascii="Tahoma" w:eastAsia="Times New Roman" w:hAnsi="Tahoma" w:cs="Tahoma"/>
          <w:b/>
          <w:bCs/>
          <w:sz w:val="20"/>
          <w:lang w:eastAsia="en-CA"/>
        </w:rPr>
        <w:t>Assessment and/or Surveillance Requirements Related to this Indicator</w:t>
      </w:r>
      <w:r w:rsidRPr="00851613">
        <w:rPr>
          <w:rFonts w:ascii="Tahoma" w:eastAsia="Times New Roman" w:hAnsi="Tahoma" w:cs="Tahoma"/>
          <w:sz w:val="20"/>
          <w:szCs w:val="20"/>
          <w:lang w:eastAsia="en-CA"/>
        </w:rPr>
        <w:t xml:space="preserve"> </w:t>
      </w:r>
    </w:p>
    <w:p w:rsidR="00DB6F82" w:rsidRPr="00DB6F82" w:rsidRDefault="00DB6F82" w:rsidP="00851613">
      <w:pPr>
        <w:numPr>
          <w:ilvl w:val="0"/>
          <w:numId w:val="7"/>
        </w:numPr>
        <w:spacing w:before="100" w:beforeAutospacing="1" w:after="100" w:afterAutospacing="1" w:line="240" w:lineRule="auto"/>
        <w:rPr>
          <w:rFonts w:ascii="Tahoma" w:eastAsia="Times New Roman" w:hAnsi="Tahoma" w:cs="Tahoma"/>
          <w:lang w:eastAsia="en-CA"/>
        </w:rPr>
      </w:pPr>
      <w:r>
        <w:rPr>
          <w:rFonts w:ascii="Tahoma" w:eastAsia="Times New Roman" w:hAnsi="Tahoma" w:cs="Tahoma"/>
          <w:sz w:val="20"/>
          <w:szCs w:val="20"/>
          <w:lang w:eastAsia="en-CA"/>
        </w:rPr>
        <w:t xml:space="preserve">The board of health shall use population health, determinants of health and health inequities information to assess the needs of the local population, including the identification of populations </w:t>
      </w:r>
      <w:r>
        <w:rPr>
          <w:rFonts w:ascii="Tahoma" w:eastAsia="Times New Roman" w:hAnsi="Tahoma" w:cs="Tahoma"/>
          <w:sz w:val="20"/>
          <w:szCs w:val="20"/>
          <w:lang w:eastAsia="en-CA"/>
        </w:rPr>
        <w:lastRenderedPageBreak/>
        <w:t>at risk, to determine those groups that would benefit most from public health programs and services (i.e., priority populations; Foundational Standard).</w:t>
      </w:r>
    </w:p>
    <w:p w:rsidR="00DB6F82" w:rsidRPr="00DB6F82" w:rsidRDefault="00DB6F82" w:rsidP="00DB6F82">
      <w:pPr>
        <w:numPr>
          <w:ilvl w:val="0"/>
          <w:numId w:val="7"/>
        </w:numPr>
        <w:spacing w:before="100" w:beforeAutospacing="1" w:after="100" w:afterAutospacing="1" w:line="240" w:lineRule="auto"/>
        <w:rPr>
          <w:rFonts w:ascii="Tahoma" w:eastAsia="Times New Roman" w:hAnsi="Tahoma" w:cs="Tahoma"/>
          <w:lang w:eastAsia="en-CA"/>
        </w:rPr>
      </w:pPr>
      <w:r>
        <w:rPr>
          <w:rFonts w:ascii="Tahoma" w:eastAsia="Times New Roman" w:hAnsi="Tahoma" w:cs="Tahoma"/>
          <w:sz w:val="20"/>
          <w:szCs w:val="20"/>
          <w:lang w:eastAsia="en-CA"/>
        </w:rPr>
        <w:t xml:space="preserve">The board of health shall provide population health information, including determinants of health and health inequities to the public, community partners, and health care providers, in accordance with the </w:t>
      </w:r>
      <w:r>
        <w:rPr>
          <w:rFonts w:ascii="Tahoma" w:eastAsia="Times New Roman" w:hAnsi="Tahoma" w:cs="Tahoma"/>
          <w:i/>
          <w:sz w:val="20"/>
          <w:szCs w:val="20"/>
          <w:lang w:eastAsia="en-CA"/>
        </w:rPr>
        <w:t xml:space="preserve">Population Health Assessment and Surveillance Protocol, 2008 </w:t>
      </w:r>
      <w:r>
        <w:rPr>
          <w:rFonts w:ascii="Tahoma" w:eastAsia="Times New Roman" w:hAnsi="Tahoma" w:cs="Tahoma"/>
          <w:sz w:val="20"/>
          <w:szCs w:val="20"/>
          <w:lang w:eastAsia="en-CA"/>
        </w:rPr>
        <w:t>(or as current; Foundational Standard).</w:t>
      </w:r>
    </w:p>
    <w:p w:rsidR="00851613" w:rsidRPr="00851613" w:rsidRDefault="00470A52" w:rsidP="00851613">
      <w:pPr>
        <w:spacing w:before="100" w:beforeAutospacing="1" w:after="100" w:afterAutospacing="1" w:line="240" w:lineRule="auto"/>
        <w:rPr>
          <w:rFonts w:ascii="Tahoma" w:eastAsia="Times New Roman" w:hAnsi="Tahoma" w:cs="Tahoma"/>
          <w:sz w:val="20"/>
          <w:szCs w:val="20"/>
          <w:lang w:eastAsia="en-CA"/>
        </w:rPr>
      </w:pPr>
      <w:hyperlink r:id="rId24" w:tgtFrame="_blank" w:history="1">
        <w:r w:rsidR="00851613" w:rsidRPr="00851613">
          <w:rPr>
            <w:rFonts w:ascii="Tahoma" w:eastAsia="Times New Roman" w:hAnsi="Tahoma" w:cs="Tahoma"/>
            <w:color w:val="0099CC"/>
            <w:sz w:val="20"/>
            <w:lang w:eastAsia="en-CA"/>
          </w:rPr>
          <w:t>http://www.ontario.ca/publichealthstandards</w:t>
        </w:r>
      </w:hyperlink>
    </w:p>
    <w:p w:rsidR="00851613" w:rsidRPr="00851613" w:rsidRDefault="00851613" w:rsidP="00851613">
      <w:pPr>
        <w:spacing w:before="100" w:beforeAutospacing="1" w:after="100" w:afterAutospacing="1" w:line="240" w:lineRule="auto"/>
        <w:rPr>
          <w:rFonts w:ascii="Tahoma" w:eastAsia="Times New Roman" w:hAnsi="Tahoma" w:cs="Tahoma"/>
          <w:lang w:eastAsia="en-CA"/>
        </w:rPr>
      </w:pPr>
      <w:r w:rsidRPr="00851613">
        <w:rPr>
          <w:rFonts w:ascii="Tahoma" w:eastAsia="Times New Roman" w:hAnsi="Tahoma" w:cs="Tahoma"/>
          <w:sz w:val="20"/>
          <w:szCs w:val="20"/>
          <w:lang w:eastAsia="en-CA"/>
        </w:rPr>
        <w:t> </w:t>
      </w:r>
      <w:bookmarkStart w:id="3" w:name="national"/>
      <w:bookmarkEnd w:id="3"/>
      <w:r w:rsidRPr="00851613">
        <w:rPr>
          <w:rFonts w:ascii="Tahoma" w:eastAsia="Times New Roman" w:hAnsi="Tahoma" w:cs="Tahoma"/>
          <w:b/>
          <w:bCs/>
          <w:sz w:val="24"/>
          <w:szCs w:val="24"/>
          <w:lang w:eastAsia="en-CA"/>
        </w:rPr>
        <w:t>Corresponding Health Indicator(s) from Statistics Canada and CIHI</w:t>
      </w:r>
    </w:p>
    <w:p w:rsidR="00851613" w:rsidRPr="00851613" w:rsidRDefault="00851613" w:rsidP="00851613">
      <w:pPr>
        <w:spacing w:before="100" w:beforeAutospacing="1" w:after="100" w:afterAutospacing="1" w:line="240" w:lineRule="auto"/>
        <w:rPr>
          <w:rFonts w:ascii="Tahoma" w:eastAsia="Times New Roman" w:hAnsi="Tahoma" w:cs="Tahoma"/>
          <w:lang w:eastAsia="en-CA"/>
        </w:rPr>
      </w:pPr>
      <w:r w:rsidRPr="00851613">
        <w:rPr>
          <w:rFonts w:ascii="Tahoma" w:eastAsia="Times New Roman" w:hAnsi="Tahoma" w:cs="Tahoma"/>
          <w:sz w:val="20"/>
          <w:szCs w:val="20"/>
          <w:lang w:eastAsia="en-CA"/>
        </w:rPr>
        <w:t xml:space="preserve">The Internet publication Health Indicators, produced jointly by Statistics Canada and the Canadian Institute for Health Information, provides over 80 indicators measuring the health of the Canadian population and the effectiveness of the health </w:t>
      </w:r>
      <w:proofErr w:type="gramStart"/>
      <w:r w:rsidRPr="00851613">
        <w:rPr>
          <w:rFonts w:ascii="Tahoma" w:eastAsia="Times New Roman" w:hAnsi="Tahoma" w:cs="Tahoma"/>
          <w:sz w:val="20"/>
          <w:szCs w:val="20"/>
          <w:lang w:eastAsia="en-CA"/>
        </w:rPr>
        <w:t>care</w:t>
      </w:r>
      <w:r w:rsidR="000A420F">
        <w:rPr>
          <w:rFonts w:ascii="Tahoma" w:eastAsia="Times New Roman" w:hAnsi="Tahoma" w:cs="Tahoma"/>
          <w:sz w:val="20"/>
          <w:szCs w:val="20"/>
          <w:lang w:eastAsia="en-CA"/>
        </w:rPr>
        <w:t xml:space="preserve"> </w:t>
      </w:r>
      <w:r w:rsidRPr="00851613">
        <w:rPr>
          <w:rFonts w:ascii="Tahoma" w:eastAsia="Times New Roman" w:hAnsi="Tahoma" w:cs="Tahoma"/>
          <w:sz w:val="20"/>
          <w:szCs w:val="20"/>
          <w:lang w:eastAsia="en-CA"/>
        </w:rPr>
        <w:t xml:space="preserve"> system</w:t>
      </w:r>
      <w:proofErr w:type="gramEnd"/>
      <w:r w:rsidRPr="00851613">
        <w:rPr>
          <w:rFonts w:ascii="Tahoma" w:eastAsia="Times New Roman" w:hAnsi="Tahoma" w:cs="Tahoma"/>
          <w:sz w:val="20"/>
          <w:szCs w:val="20"/>
          <w:lang w:eastAsia="en-CA"/>
        </w:rPr>
        <w:t>. Designed to provide comparable information at the health region and provincial/territorial levels, these data are produced from a wide range of the most recently available sources.</w:t>
      </w:r>
    </w:p>
    <w:p w:rsidR="00851613" w:rsidRPr="00BC1A45" w:rsidRDefault="00BC1A45" w:rsidP="00851613">
      <w:pPr>
        <w:spacing w:before="100" w:beforeAutospacing="1" w:after="100" w:afterAutospacing="1" w:line="240" w:lineRule="auto"/>
        <w:rPr>
          <w:rFonts w:ascii="Tahoma" w:eastAsia="Times New Roman" w:hAnsi="Tahoma" w:cs="Tahoma"/>
          <w:sz w:val="20"/>
          <w:szCs w:val="20"/>
          <w:lang w:eastAsia="en-CA"/>
        </w:rPr>
      </w:pPr>
      <w:proofErr w:type="gramStart"/>
      <w:r>
        <w:rPr>
          <w:rFonts w:ascii="Tahoma" w:eastAsia="Times New Roman" w:hAnsi="Tahoma" w:cs="Tahoma"/>
          <w:sz w:val="20"/>
          <w:szCs w:val="20"/>
          <w:lang w:eastAsia="en-CA"/>
        </w:rPr>
        <w:t>Sense of community belonging</w:t>
      </w:r>
      <w:r>
        <w:rPr>
          <w:rFonts w:ascii="Tahoma" w:eastAsia="Times New Roman" w:hAnsi="Tahoma" w:cs="Tahoma"/>
          <w:sz w:val="20"/>
          <w:szCs w:val="20"/>
          <w:lang w:eastAsia="en-CA"/>
        </w:rPr>
        <w:br/>
      </w:r>
      <w:r w:rsidR="005C0023">
        <w:rPr>
          <w:rFonts w:ascii="Tahoma" w:eastAsia="Times New Roman" w:hAnsi="Tahoma" w:cs="Tahoma"/>
          <w:sz w:val="20"/>
          <w:szCs w:val="20"/>
          <w:lang w:eastAsia="en-CA"/>
        </w:rPr>
        <w:t>Population aged 12 and over who reported their sense of belonging to their local community as being very strong or somewhat strong.</w:t>
      </w:r>
      <w:proofErr w:type="gramEnd"/>
      <w:r w:rsidR="005C0023">
        <w:rPr>
          <w:rFonts w:ascii="Tahoma" w:eastAsia="Times New Roman" w:hAnsi="Tahoma" w:cs="Tahoma"/>
          <w:sz w:val="20"/>
          <w:szCs w:val="20"/>
          <w:lang w:eastAsia="en-CA"/>
        </w:rPr>
        <w:t xml:space="preserve"> Research shows a high correlation of sense of community belonging with physical and mental health.</w:t>
      </w:r>
    </w:p>
    <w:p w:rsidR="005C0023" w:rsidRPr="005C0023" w:rsidRDefault="00470A52" w:rsidP="00851613">
      <w:pPr>
        <w:spacing w:before="100" w:beforeAutospacing="1" w:after="100" w:afterAutospacing="1" w:line="240" w:lineRule="auto"/>
        <w:rPr>
          <w:rFonts w:ascii="Tahoma" w:eastAsia="Times New Roman" w:hAnsi="Tahoma" w:cs="Tahoma"/>
          <w:sz w:val="20"/>
          <w:szCs w:val="20"/>
          <w:lang w:eastAsia="en-CA"/>
        </w:rPr>
      </w:pPr>
      <w:hyperlink r:id="rId25" w:history="1">
        <w:r w:rsidR="005C0023" w:rsidRPr="00EA592E">
          <w:rPr>
            <w:rStyle w:val="Hyperlink"/>
            <w:rFonts w:ascii="Tahoma" w:eastAsia="Times New Roman" w:hAnsi="Tahoma" w:cs="Tahoma"/>
            <w:lang w:eastAsia="en-CA"/>
          </w:rPr>
          <w:t>http://www.statcan.gc.ca/start-debut-eng.html</w:t>
        </w:r>
      </w:hyperlink>
      <w:r w:rsidR="005C0023">
        <w:rPr>
          <w:rFonts w:ascii="Tahoma" w:eastAsia="Times New Roman" w:hAnsi="Tahoma" w:cs="Tahoma"/>
          <w:sz w:val="20"/>
          <w:szCs w:val="20"/>
          <w:lang w:eastAsia="en-CA"/>
        </w:rPr>
        <w:br/>
      </w:r>
      <w:r w:rsidR="00851613" w:rsidRPr="00851613">
        <w:rPr>
          <w:rFonts w:ascii="Tahoma" w:eastAsia="Times New Roman" w:hAnsi="Tahoma" w:cs="Tahoma"/>
          <w:sz w:val="20"/>
          <w:szCs w:val="20"/>
          <w:lang w:eastAsia="en-CA"/>
        </w:rPr>
        <w:t>Click on "</w:t>
      </w:r>
      <w:r w:rsidR="005C0023">
        <w:rPr>
          <w:rFonts w:ascii="Tahoma" w:eastAsia="Times New Roman" w:hAnsi="Tahoma" w:cs="Tahoma"/>
          <w:sz w:val="20"/>
          <w:szCs w:val="20"/>
          <w:lang w:eastAsia="en-CA"/>
        </w:rPr>
        <w:t>”Browse by subject”</w:t>
      </w:r>
      <w:r w:rsidR="00851613" w:rsidRPr="00851613">
        <w:rPr>
          <w:rFonts w:ascii="Tahoma" w:eastAsia="Times New Roman" w:hAnsi="Tahoma" w:cs="Tahoma"/>
          <w:sz w:val="20"/>
          <w:szCs w:val="20"/>
          <w:lang w:eastAsia="en-CA"/>
        </w:rPr>
        <w:br/>
        <w:t>Click on "</w:t>
      </w:r>
      <w:r w:rsidR="005C0023">
        <w:rPr>
          <w:rFonts w:ascii="Tahoma" w:eastAsia="Times New Roman" w:hAnsi="Tahoma" w:cs="Tahoma"/>
          <w:sz w:val="20"/>
          <w:szCs w:val="20"/>
          <w:lang w:eastAsia="en-CA"/>
        </w:rPr>
        <w:t>Health”</w:t>
      </w:r>
      <w:r w:rsidR="00851613" w:rsidRPr="00851613">
        <w:rPr>
          <w:rFonts w:ascii="Tahoma" w:eastAsia="Times New Roman" w:hAnsi="Tahoma" w:cs="Tahoma"/>
          <w:sz w:val="20"/>
          <w:szCs w:val="20"/>
          <w:lang w:eastAsia="en-CA"/>
        </w:rPr>
        <w:br/>
      </w:r>
      <w:r w:rsidR="005C0023">
        <w:rPr>
          <w:rFonts w:ascii="Tahoma" w:eastAsia="Times New Roman" w:hAnsi="Tahoma" w:cs="Tahoma"/>
          <w:sz w:val="20"/>
          <w:szCs w:val="20"/>
          <w:lang w:eastAsia="en-CA"/>
        </w:rPr>
        <w:t>Click on “Health Profile” at the right of the page (under “Featured Products”</w:t>
      </w:r>
      <w:r w:rsidR="005B1F5C">
        <w:rPr>
          <w:rFonts w:ascii="Tahoma" w:eastAsia="Times New Roman" w:hAnsi="Tahoma" w:cs="Tahoma"/>
          <w:sz w:val="20"/>
          <w:szCs w:val="20"/>
          <w:lang w:eastAsia="en-CA"/>
        </w:rPr>
        <w:t>)</w:t>
      </w:r>
      <w:r w:rsidR="005C0023">
        <w:rPr>
          <w:rFonts w:ascii="Tahoma" w:eastAsia="Times New Roman" w:hAnsi="Tahoma" w:cs="Tahoma"/>
          <w:sz w:val="20"/>
          <w:szCs w:val="20"/>
          <w:lang w:eastAsia="en-CA"/>
        </w:rPr>
        <w:br/>
        <w:t>Search or browse to the appropriate geography</w:t>
      </w:r>
    </w:p>
    <w:p w:rsidR="00851613" w:rsidRPr="00851613" w:rsidRDefault="00851613" w:rsidP="00851613">
      <w:pPr>
        <w:spacing w:before="100" w:beforeAutospacing="1" w:after="100" w:afterAutospacing="1" w:line="240" w:lineRule="auto"/>
        <w:rPr>
          <w:rFonts w:ascii="Tahoma" w:eastAsia="Times New Roman" w:hAnsi="Tahoma" w:cs="Tahoma"/>
          <w:lang w:eastAsia="en-CA"/>
        </w:rPr>
      </w:pPr>
      <w:bookmarkStart w:id="4" w:name="other_sources"/>
      <w:bookmarkEnd w:id="4"/>
      <w:r w:rsidRPr="00851613">
        <w:rPr>
          <w:rFonts w:ascii="Tahoma" w:eastAsia="Times New Roman" w:hAnsi="Tahoma" w:cs="Tahoma"/>
          <w:b/>
          <w:bCs/>
          <w:sz w:val="24"/>
          <w:szCs w:val="24"/>
          <w:lang w:eastAsia="en-CA"/>
        </w:rPr>
        <w:t>Corresponding Indicator(s) from Other Sources</w:t>
      </w:r>
    </w:p>
    <w:p w:rsidR="00851613" w:rsidRPr="00851613" w:rsidRDefault="005C0023" w:rsidP="005C0023">
      <w:pPr>
        <w:spacing w:before="100" w:beforeAutospacing="1" w:after="100" w:afterAutospacing="1" w:line="240" w:lineRule="auto"/>
        <w:rPr>
          <w:rFonts w:ascii="Tahoma" w:eastAsia="Times New Roman" w:hAnsi="Tahoma" w:cs="Tahoma"/>
          <w:lang w:eastAsia="en-CA"/>
        </w:rPr>
      </w:pPr>
      <w:r>
        <w:rPr>
          <w:rFonts w:ascii="Tahoma" w:eastAsia="Times New Roman" w:hAnsi="Tahoma" w:cs="Tahoma"/>
          <w:sz w:val="20"/>
          <w:szCs w:val="20"/>
          <w:lang w:eastAsia="en-CA"/>
        </w:rPr>
        <w:t>None</w:t>
      </w:r>
    </w:p>
    <w:p w:rsidR="00851613" w:rsidRPr="00851613" w:rsidRDefault="00851613" w:rsidP="00851613">
      <w:pPr>
        <w:spacing w:before="100" w:beforeAutospacing="1" w:after="100" w:afterAutospacing="1" w:line="240" w:lineRule="auto"/>
        <w:rPr>
          <w:rFonts w:ascii="Tahoma" w:eastAsia="Times New Roman" w:hAnsi="Tahoma" w:cs="Tahoma"/>
          <w:lang w:eastAsia="en-CA"/>
        </w:rPr>
      </w:pPr>
      <w:bookmarkStart w:id="5" w:name="datasources"/>
      <w:bookmarkEnd w:id="5"/>
      <w:r w:rsidRPr="00851613">
        <w:rPr>
          <w:rFonts w:ascii="Tahoma" w:eastAsia="Times New Roman" w:hAnsi="Tahoma" w:cs="Tahoma"/>
          <w:b/>
          <w:bCs/>
          <w:sz w:val="24"/>
          <w:szCs w:val="24"/>
          <w:lang w:eastAsia="en-CA"/>
        </w:rPr>
        <w:t>Data Sources</w:t>
      </w:r>
      <w:r w:rsidRPr="00851613">
        <w:rPr>
          <w:rFonts w:ascii="Tahoma" w:eastAsia="Times New Roman" w:hAnsi="Tahoma" w:cs="Tahoma"/>
          <w:sz w:val="20"/>
          <w:szCs w:val="20"/>
          <w:lang w:eastAsia="en-CA"/>
        </w:rPr>
        <w:t xml:space="preserve"> </w:t>
      </w:r>
    </w:p>
    <w:p w:rsidR="00851613" w:rsidRPr="00851613" w:rsidRDefault="00851613" w:rsidP="00851613">
      <w:pPr>
        <w:spacing w:after="0" w:line="240" w:lineRule="auto"/>
        <w:rPr>
          <w:rFonts w:ascii="Tahoma" w:eastAsia="Times New Roman" w:hAnsi="Tahoma" w:cs="Tahoma"/>
          <w:sz w:val="20"/>
          <w:szCs w:val="20"/>
          <w:lang w:eastAsia="en-CA"/>
        </w:rPr>
      </w:pPr>
      <w:r w:rsidRPr="00851613">
        <w:rPr>
          <w:rFonts w:ascii="Tahoma" w:eastAsia="Times New Roman" w:hAnsi="Tahoma" w:cs="Tahoma"/>
          <w:b/>
          <w:bCs/>
          <w:sz w:val="20"/>
          <w:lang w:eastAsia="en-CA"/>
        </w:rPr>
        <w:t>Numerator and Denominator</w:t>
      </w:r>
      <w:r w:rsidR="005C0023">
        <w:rPr>
          <w:rFonts w:ascii="Tahoma" w:eastAsia="Times New Roman" w:hAnsi="Tahoma" w:cs="Tahoma"/>
          <w:sz w:val="20"/>
          <w:szCs w:val="20"/>
          <w:lang w:eastAsia="en-CA"/>
        </w:rPr>
        <w:t xml:space="preserve">: </w:t>
      </w:r>
      <w:hyperlink r:id="rId26" w:history="1">
        <w:r w:rsidR="005C0023" w:rsidRPr="005C0023">
          <w:rPr>
            <w:rStyle w:val="Hyperlink"/>
            <w:rFonts w:ascii="Tahoma" w:eastAsia="Times New Roman" w:hAnsi="Tahoma" w:cs="Tahoma"/>
            <w:b/>
            <w:lang w:eastAsia="en-CA"/>
          </w:rPr>
          <w:t>Canadian Community Health Survey</w:t>
        </w:r>
      </w:hyperlink>
      <w:r w:rsidR="005C0023">
        <w:rPr>
          <w:rFonts w:ascii="Tahoma" w:eastAsia="Times New Roman" w:hAnsi="Tahoma" w:cs="Tahoma"/>
          <w:b/>
          <w:sz w:val="20"/>
          <w:szCs w:val="20"/>
          <w:lang w:eastAsia="en-CA"/>
        </w:rPr>
        <w:t xml:space="preserve"> </w:t>
      </w:r>
      <w:r w:rsidRPr="005C0023">
        <w:rPr>
          <w:rFonts w:ascii="Tahoma" w:eastAsia="Times New Roman" w:hAnsi="Tahoma" w:cs="Tahoma"/>
          <w:b/>
          <w:bCs/>
          <w:sz w:val="20"/>
          <w:lang w:eastAsia="en-CA"/>
        </w:rPr>
        <w:br/>
      </w:r>
      <w:r w:rsidRPr="00851613">
        <w:rPr>
          <w:rFonts w:ascii="Tahoma" w:eastAsia="Times New Roman" w:hAnsi="Tahoma" w:cs="Tahoma"/>
          <w:b/>
          <w:bCs/>
          <w:sz w:val="20"/>
          <w:lang w:eastAsia="en-CA"/>
        </w:rPr>
        <w:t>Original source:</w:t>
      </w:r>
      <w:r w:rsidRPr="00851613">
        <w:rPr>
          <w:rFonts w:ascii="Tahoma" w:eastAsia="Times New Roman" w:hAnsi="Tahoma" w:cs="Tahoma"/>
          <w:sz w:val="20"/>
          <w:szCs w:val="20"/>
          <w:lang w:eastAsia="en-CA"/>
        </w:rPr>
        <w:t xml:space="preserve"> Statistics Canada</w:t>
      </w:r>
      <w:r w:rsidRPr="00851613">
        <w:rPr>
          <w:rFonts w:ascii="Tahoma" w:eastAsia="Times New Roman" w:hAnsi="Tahoma" w:cs="Tahoma"/>
          <w:sz w:val="20"/>
          <w:szCs w:val="20"/>
          <w:lang w:eastAsia="en-CA"/>
        </w:rPr>
        <w:br/>
      </w:r>
      <w:r w:rsidRPr="00851613">
        <w:rPr>
          <w:rFonts w:ascii="Tahoma" w:eastAsia="Times New Roman" w:hAnsi="Tahoma" w:cs="Tahoma"/>
          <w:b/>
          <w:bCs/>
          <w:sz w:val="20"/>
          <w:lang w:eastAsia="en-CA"/>
        </w:rPr>
        <w:t>Distributed by:</w:t>
      </w:r>
      <w:r w:rsidRPr="00851613">
        <w:rPr>
          <w:rFonts w:ascii="Tahoma" w:eastAsia="Times New Roman" w:hAnsi="Tahoma" w:cs="Tahoma"/>
          <w:sz w:val="20"/>
          <w:szCs w:val="20"/>
          <w:lang w:eastAsia="en-CA"/>
        </w:rPr>
        <w:t xml:space="preserve"> </w:t>
      </w:r>
      <w:r w:rsidR="005C0023">
        <w:rPr>
          <w:rFonts w:ascii="Tahoma" w:eastAsia="Times New Roman" w:hAnsi="Tahoma" w:cs="Tahoma"/>
          <w:sz w:val="20"/>
          <w:szCs w:val="20"/>
          <w:lang w:eastAsia="en-CA"/>
        </w:rPr>
        <w:t>Statistics Canada</w:t>
      </w:r>
      <w:r w:rsidR="005C0023">
        <w:rPr>
          <w:rFonts w:ascii="Tahoma" w:eastAsia="Times New Roman" w:hAnsi="Tahoma" w:cs="Tahoma"/>
          <w:sz w:val="20"/>
          <w:szCs w:val="20"/>
          <w:lang w:eastAsia="en-CA"/>
        </w:rPr>
        <w:br/>
      </w:r>
      <w:r w:rsidRPr="00851613">
        <w:rPr>
          <w:rFonts w:ascii="Tahoma" w:eastAsia="Times New Roman" w:hAnsi="Tahoma" w:cs="Tahoma"/>
          <w:b/>
          <w:bCs/>
          <w:sz w:val="20"/>
          <w:lang w:eastAsia="en-CA"/>
        </w:rPr>
        <w:t>Suggested</w:t>
      </w:r>
      <w:r w:rsidRPr="00851613">
        <w:rPr>
          <w:rFonts w:ascii="Tahoma" w:eastAsia="Times New Roman" w:hAnsi="Tahoma" w:cs="Tahoma"/>
          <w:sz w:val="20"/>
          <w:szCs w:val="20"/>
          <w:lang w:eastAsia="en-CA"/>
        </w:rPr>
        <w:t xml:space="preserve"> </w:t>
      </w:r>
      <w:r w:rsidRPr="00851613">
        <w:rPr>
          <w:rFonts w:ascii="Tahoma" w:eastAsia="Times New Roman" w:hAnsi="Tahoma" w:cs="Tahoma"/>
          <w:b/>
          <w:bCs/>
          <w:sz w:val="20"/>
          <w:lang w:eastAsia="en-CA"/>
        </w:rPr>
        <w:t xml:space="preserve">citation (see </w:t>
      </w:r>
      <w:hyperlink r:id="rId27" w:tgtFrame="_blank" w:history="1">
        <w:r w:rsidRPr="00851613">
          <w:rPr>
            <w:rFonts w:ascii="Arial" w:eastAsia="Times New Roman" w:hAnsi="Arial" w:cs="Arial"/>
            <w:b/>
            <w:bCs/>
            <w:color w:val="0099CC"/>
            <w:sz w:val="20"/>
            <w:lang w:eastAsia="en-CA"/>
          </w:rPr>
          <w:t>Data Citation Notes</w:t>
        </w:r>
      </w:hyperlink>
      <w:r w:rsidRPr="00851613">
        <w:rPr>
          <w:rFonts w:ascii="Tahoma" w:eastAsia="Times New Roman" w:hAnsi="Tahoma" w:cs="Tahoma"/>
          <w:b/>
          <w:bCs/>
          <w:sz w:val="20"/>
          <w:lang w:eastAsia="en-CA"/>
        </w:rPr>
        <w:t>):</w:t>
      </w:r>
      <w:r w:rsidRPr="00851613">
        <w:rPr>
          <w:rFonts w:ascii="Tahoma" w:eastAsia="Times New Roman" w:hAnsi="Tahoma" w:cs="Tahoma"/>
          <w:sz w:val="20"/>
          <w:szCs w:val="20"/>
          <w:lang w:eastAsia="en-CA"/>
        </w:rPr>
        <w:t xml:space="preserve"> </w:t>
      </w:r>
      <w:r w:rsidR="005C0023">
        <w:rPr>
          <w:rFonts w:ascii="Tahoma" w:eastAsia="Times New Roman" w:hAnsi="Tahoma" w:cs="Tahoma"/>
          <w:sz w:val="20"/>
          <w:szCs w:val="20"/>
          <w:lang w:eastAsia="en-CA"/>
        </w:rPr>
        <w:t xml:space="preserve">Canadian Community health Survey [year], Statistics Canada, [Share File, Ontario MOHLTC </w:t>
      </w:r>
      <w:r w:rsidR="005C0023">
        <w:rPr>
          <w:rFonts w:ascii="Tahoma" w:eastAsia="Times New Roman" w:hAnsi="Tahoma" w:cs="Tahoma"/>
          <w:b/>
          <w:sz w:val="20"/>
          <w:szCs w:val="20"/>
          <w:lang w:eastAsia="en-CA"/>
        </w:rPr>
        <w:t xml:space="preserve">or </w:t>
      </w:r>
      <w:r w:rsidR="005C0023">
        <w:rPr>
          <w:rFonts w:ascii="Tahoma" w:eastAsia="Times New Roman" w:hAnsi="Tahoma" w:cs="Tahoma"/>
          <w:sz w:val="20"/>
          <w:szCs w:val="20"/>
          <w:lang w:eastAsia="en-CA"/>
        </w:rPr>
        <w:t xml:space="preserve">Public Use </w:t>
      </w:r>
      <w:proofErr w:type="spellStart"/>
      <w:r w:rsidR="005C0023">
        <w:rPr>
          <w:rFonts w:ascii="Tahoma" w:eastAsia="Times New Roman" w:hAnsi="Tahoma" w:cs="Tahoma"/>
          <w:sz w:val="20"/>
          <w:szCs w:val="20"/>
          <w:lang w:eastAsia="en-CA"/>
        </w:rPr>
        <w:t>Microdata</w:t>
      </w:r>
      <w:proofErr w:type="spellEnd"/>
      <w:r w:rsidR="005C0023">
        <w:rPr>
          <w:rFonts w:ascii="Tahoma" w:eastAsia="Times New Roman" w:hAnsi="Tahoma" w:cs="Tahoma"/>
          <w:sz w:val="20"/>
          <w:szCs w:val="20"/>
          <w:lang w:eastAsia="en-CA"/>
        </w:rPr>
        <w:t xml:space="preserve"> File, Statistics Canada]</w:t>
      </w:r>
      <w:r w:rsidRPr="00851613">
        <w:rPr>
          <w:rFonts w:ascii="Tahoma" w:eastAsia="Times New Roman" w:hAnsi="Tahoma" w:cs="Tahoma"/>
          <w:sz w:val="20"/>
          <w:szCs w:val="20"/>
          <w:lang w:eastAsia="en-CA"/>
        </w:rPr>
        <w:t xml:space="preserve"> </w:t>
      </w:r>
    </w:p>
    <w:p w:rsidR="00851613" w:rsidRPr="00851613" w:rsidRDefault="00851613" w:rsidP="00851613">
      <w:pPr>
        <w:spacing w:before="100" w:beforeAutospacing="1" w:after="100" w:afterAutospacing="1" w:line="240" w:lineRule="auto"/>
        <w:rPr>
          <w:rFonts w:ascii="Tahoma" w:eastAsia="Times New Roman" w:hAnsi="Tahoma" w:cs="Tahoma"/>
          <w:lang w:eastAsia="en-CA"/>
        </w:rPr>
      </w:pPr>
      <w:bookmarkStart w:id="6" w:name="SurveyQuestions"/>
      <w:bookmarkEnd w:id="6"/>
      <w:r w:rsidRPr="00851613">
        <w:rPr>
          <w:rFonts w:ascii="Tahoma" w:eastAsia="Times New Roman" w:hAnsi="Tahoma" w:cs="Tahoma"/>
          <w:b/>
          <w:bCs/>
          <w:sz w:val="24"/>
          <w:szCs w:val="24"/>
          <w:lang w:eastAsia="en-CA"/>
        </w:rPr>
        <w:t>Survey Questions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15"/>
        <w:gridCol w:w="975"/>
        <w:gridCol w:w="2520"/>
        <w:gridCol w:w="1842"/>
        <w:gridCol w:w="990"/>
        <w:gridCol w:w="1275"/>
      </w:tblGrid>
      <w:tr w:rsidR="00851613" w:rsidRPr="00851613" w:rsidTr="00F97433">
        <w:trPr>
          <w:tblCellSpacing w:w="0" w:type="dxa"/>
        </w:trPr>
        <w:tc>
          <w:tcPr>
            <w:tcW w:w="915" w:type="dxa"/>
            <w:tcBorders>
              <w:top w:val="outset" w:sz="6" w:space="0" w:color="auto"/>
              <w:left w:val="outset" w:sz="6" w:space="0" w:color="auto"/>
              <w:bottom w:val="outset" w:sz="6" w:space="0" w:color="auto"/>
              <w:right w:val="outset" w:sz="6" w:space="0" w:color="auto"/>
            </w:tcBorders>
            <w:vAlign w:val="center"/>
            <w:hideMark/>
          </w:tcPr>
          <w:p w:rsidR="00851613" w:rsidRPr="00851613" w:rsidRDefault="00851613" w:rsidP="00851613">
            <w:pPr>
              <w:spacing w:before="100" w:beforeAutospacing="1" w:after="100" w:afterAutospacing="1" w:line="240" w:lineRule="auto"/>
              <w:rPr>
                <w:rFonts w:ascii="Arial" w:eastAsia="Times New Roman" w:hAnsi="Arial" w:cs="Arial"/>
                <w:sz w:val="20"/>
                <w:szCs w:val="20"/>
                <w:lang w:eastAsia="en-CA"/>
              </w:rPr>
            </w:pPr>
            <w:r w:rsidRPr="00851613">
              <w:rPr>
                <w:rFonts w:ascii="Tahoma" w:eastAsia="Times New Roman" w:hAnsi="Tahoma" w:cs="Tahoma"/>
                <w:lang w:eastAsia="en-CA"/>
              </w:rPr>
              <w:t> </w:t>
            </w:r>
            <w:r w:rsidRPr="00851613">
              <w:rPr>
                <w:rFonts w:ascii="Arial" w:eastAsia="Times New Roman" w:hAnsi="Arial" w:cs="Arial"/>
                <w:b/>
                <w:bCs/>
                <w:sz w:val="20"/>
                <w:lang w:eastAsia="en-CA"/>
              </w:rPr>
              <w:t>Data Source</w:t>
            </w:r>
          </w:p>
        </w:tc>
        <w:tc>
          <w:tcPr>
            <w:tcW w:w="975" w:type="dxa"/>
            <w:tcBorders>
              <w:top w:val="outset" w:sz="6" w:space="0" w:color="auto"/>
              <w:left w:val="outset" w:sz="6" w:space="0" w:color="auto"/>
              <w:bottom w:val="outset" w:sz="6" w:space="0" w:color="auto"/>
              <w:right w:val="outset" w:sz="6" w:space="0" w:color="auto"/>
            </w:tcBorders>
            <w:vAlign w:val="center"/>
            <w:hideMark/>
          </w:tcPr>
          <w:p w:rsidR="00851613" w:rsidRPr="00851613" w:rsidRDefault="00851613" w:rsidP="00851613">
            <w:pPr>
              <w:spacing w:before="100" w:beforeAutospacing="1" w:after="100" w:afterAutospacing="1" w:line="240" w:lineRule="auto"/>
              <w:rPr>
                <w:rFonts w:ascii="Arial" w:eastAsia="Times New Roman" w:hAnsi="Arial" w:cs="Arial"/>
                <w:sz w:val="20"/>
                <w:szCs w:val="20"/>
                <w:lang w:eastAsia="en-CA"/>
              </w:rPr>
            </w:pPr>
            <w:r w:rsidRPr="00851613">
              <w:rPr>
                <w:rFonts w:ascii="Arial" w:eastAsia="Times New Roman" w:hAnsi="Arial" w:cs="Arial"/>
                <w:b/>
                <w:bCs/>
                <w:sz w:val="20"/>
                <w:lang w:eastAsia="en-CA"/>
              </w:rPr>
              <w:t>Module</w:t>
            </w:r>
          </w:p>
        </w:tc>
        <w:tc>
          <w:tcPr>
            <w:tcW w:w="2520" w:type="dxa"/>
            <w:tcBorders>
              <w:top w:val="outset" w:sz="6" w:space="0" w:color="auto"/>
              <w:left w:val="outset" w:sz="6" w:space="0" w:color="auto"/>
              <w:bottom w:val="outset" w:sz="6" w:space="0" w:color="auto"/>
              <w:right w:val="outset" w:sz="6" w:space="0" w:color="auto"/>
            </w:tcBorders>
            <w:vAlign w:val="center"/>
            <w:hideMark/>
          </w:tcPr>
          <w:p w:rsidR="00851613" w:rsidRPr="00851613" w:rsidRDefault="00851613" w:rsidP="00851613">
            <w:pPr>
              <w:spacing w:before="100" w:beforeAutospacing="1" w:after="100" w:afterAutospacing="1" w:line="240" w:lineRule="auto"/>
              <w:rPr>
                <w:rFonts w:ascii="Arial" w:eastAsia="Times New Roman" w:hAnsi="Arial" w:cs="Arial"/>
                <w:sz w:val="20"/>
                <w:szCs w:val="20"/>
                <w:lang w:eastAsia="en-CA"/>
              </w:rPr>
            </w:pPr>
            <w:r w:rsidRPr="00851613">
              <w:rPr>
                <w:rFonts w:ascii="Arial" w:eastAsia="Times New Roman" w:hAnsi="Arial" w:cs="Arial"/>
                <w:b/>
                <w:bCs/>
                <w:sz w:val="20"/>
                <w:lang w:eastAsia="en-CA"/>
              </w:rPr>
              <w:t>Question</w:t>
            </w:r>
          </w:p>
        </w:tc>
        <w:tc>
          <w:tcPr>
            <w:tcW w:w="1842" w:type="dxa"/>
            <w:tcBorders>
              <w:top w:val="outset" w:sz="6" w:space="0" w:color="auto"/>
              <w:left w:val="outset" w:sz="6" w:space="0" w:color="auto"/>
              <w:bottom w:val="outset" w:sz="6" w:space="0" w:color="auto"/>
              <w:right w:val="outset" w:sz="6" w:space="0" w:color="auto"/>
            </w:tcBorders>
            <w:vAlign w:val="center"/>
            <w:hideMark/>
          </w:tcPr>
          <w:p w:rsidR="00851613" w:rsidRPr="00851613" w:rsidRDefault="00851613" w:rsidP="00851613">
            <w:pPr>
              <w:spacing w:before="100" w:beforeAutospacing="1" w:after="100" w:afterAutospacing="1" w:line="240" w:lineRule="auto"/>
              <w:rPr>
                <w:rFonts w:ascii="Arial" w:eastAsia="Times New Roman" w:hAnsi="Arial" w:cs="Arial"/>
                <w:sz w:val="20"/>
                <w:szCs w:val="20"/>
                <w:lang w:eastAsia="en-CA"/>
              </w:rPr>
            </w:pPr>
            <w:r w:rsidRPr="00851613">
              <w:rPr>
                <w:rFonts w:ascii="Arial" w:eastAsia="Times New Roman" w:hAnsi="Arial" w:cs="Arial"/>
                <w:b/>
                <w:bCs/>
                <w:sz w:val="20"/>
                <w:lang w:eastAsia="en-CA"/>
              </w:rPr>
              <w:t>Response Categories</w:t>
            </w:r>
          </w:p>
        </w:tc>
        <w:tc>
          <w:tcPr>
            <w:tcW w:w="990" w:type="dxa"/>
            <w:tcBorders>
              <w:top w:val="outset" w:sz="6" w:space="0" w:color="auto"/>
              <w:left w:val="outset" w:sz="6" w:space="0" w:color="auto"/>
              <w:bottom w:val="outset" w:sz="6" w:space="0" w:color="auto"/>
              <w:right w:val="outset" w:sz="6" w:space="0" w:color="auto"/>
            </w:tcBorders>
            <w:vAlign w:val="center"/>
            <w:hideMark/>
          </w:tcPr>
          <w:p w:rsidR="00851613" w:rsidRPr="00851613" w:rsidRDefault="00851613" w:rsidP="00851613">
            <w:pPr>
              <w:spacing w:before="100" w:beforeAutospacing="1" w:after="100" w:afterAutospacing="1" w:line="240" w:lineRule="auto"/>
              <w:rPr>
                <w:rFonts w:ascii="Arial" w:eastAsia="Times New Roman" w:hAnsi="Arial" w:cs="Arial"/>
                <w:sz w:val="20"/>
                <w:szCs w:val="20"/>
                <w:lang w:eastAsia="en-CA"/>
              </w:rPr>
            </w:pPr>
            <w:r w:rsidRPr="00851613">
              <w:rPr>
                <w:rFonts w:ascii="Arial" w:eastAsia="Times New Roman" w:hAnsi="Arial" w:cs="Arial"/>
                <w:b/>
                <w:bCs/>
                <w:sz w:val="20"/>
                <w:lang w:eastAsia="en-CA"/>
              </w:rPr>
              <w:t>Year</w:t>
            </w:r>
          </w:p>
        </w:tc>
        <w:tc>
          <w:tcPr>
            <w:tcW w:w="1275" w:type="dxa"/>
            <w:tcBorders>
              <w:top w:val="outset" w:sz="6" w:space="0" w:color="auto"/>
              <w:left w:val="outset" w:sz="6" w:space="0" w:color="auto"/>
              <w:bottom w:val="outset" w:sz="6" w:space="0" w:color="auto"/>
              <w:right w:val="outset" w:sz="6" w:space="0" w:color="auto"/>
            </w:tcBorders>
            <w:vAlign w:val="center"/>
            <w:hideMark/>
          </w:tcPr>
          <w:p w:rsidR="00851613" w:rsidRPr="00851613" w:rsidRDefault="00851613" w:rsidP="00851613">
            <w:pPr>
              <w:spacing w:before="100" w:beforeAutospacing="1" w:after="100" w:afterAutospacing="1" w:line="240" w:lineRule="auto"/>
              <w:rPr>
                <w:rFonts w:ascii="Arial" w:eastAsia="Times New Roman" w:hAnsi="Arial" w:cs="Arial"/>
                <w:sz w:val="20"/>
                <w:szCs w:val="20"/>
                <w:lang w:eastAsia="en-CA"/>
              </w:rPr>
            </w:pPr>
            <w:r w:rsidRPr="00851613">
              <w:rPr>
                <w:rFonts w:ascii="Arial" w:eastAsia="Times New Roman" w:hAnsi="Arial" w:cs="Arial"/>
                <w:b/>
                <w:bCs/>
                <w:sz w:val="20"/>
                <w:lang w:eastAsia="en-CA"/>
              </w:rPr>
              <w:t>Variable</w:t>
            </w:r>
          </w:p>
        </w:tc>
      </w:tr>
      <w:tr w:rsidR="00D011F3" w:rsidRPr="00851613" w:rsidTr="00CA4377">
        <w:trPr>
          <w:tblCellSpacing w:w="0" w:type="dxa"/>
        </w:trPr>
        <w:tc>
          <w:tcPr>
            <w:tcW w:w="915" w:type="dxa"/>
            <w:vMerge w:val="restart"/>
            <w:tcBorders>
              <w:top w:val="outset" w:sz="6" w:space="0" w:color="auto"/>
              <w:left w:val="outset" w:sz="6" w:space="0" w:color="auto"/>
              <w:right w:val="outset" w:sz="6" w:space="0" w:color="auto"/>
            </w:tcBorders>
            <w:vAlign w:val="center"/>
            <w:hideMark/>
          </w:tcPr>
          <w:p w:rsidR="00D011F3" w:rsidRPr="00851613" w:rsidRDefault="00D011F3" w:rsidP="00851613">
            <w:pPr>
              <w:spacing w:before="100" w:beforeAutospacing="1" w:after="100" w:afterAutospacing="1" w:line="240" w:lineRule="auto"/>
              <w:rPr>
                <w:rFonts w:ascii="Arial" w:eastAsia="Times New Roman" w:hAnsi="Arial" w:cs="Arial"/>
                <w:sz w:val="20"/>
                <w:szCs w:val="20"/>
                <w:lang w:eastAsia="en-CA"/>
              </w:rPr>
            </w:pPr>
            <w:r w:rsidRPr="00851613">
              <w:rPr>
                <w:rFonts w:ascii="Arial" w:eastAsia="Times New Roman" w:hAnsi="Arial" w:cs="Arial"/>
                <w:sz w:val="20"/>
                <w:szCs w:val="20"/>
                <w:lang w:eastAsia="en-CA"/>
              </w:rPr>
              <w:t>CCHS</w:t>
            </w:r>
          </w:p>
        </w:tc>
        <w:tc>
          <w:tcPr>
            <w:tcW w:w="975" w:type="dxa"/>
            <w:vMerge w:val="restart"/>
            <w:tcBorders>
              <w:top w:val="outset" w:sz="6" w:space="0" w:color="auto"/>
              <w:left w:val="outset" w:sz="6" w:space="0" w:color="auto"/>
              <w:right w:val="outset" w:sz="6" w:space="0" w:color="auto"/>
            </w:tcBorders>
            <w:vAlign w:val="center"/>
            <w:hideMark/>
          </w:tcPr>
          <w:p w:rsidR="00D011F3" w:rsidRPr="00851613" w:rsidRDefault="00D011F3" w:rsidP="00851613">
            <w:pPr>
              <w:spacing w:before="100" w:beforeAutospacing="1" w:after="100" w:afterAutospacing="1" w:line="240" w:lineRule="auto"/>
              <w:rPr>
                <w:rFonts w:ascii="Arial" w:eastAsia="Times New Roman" w:hAnsi="Arial" w:cs="Arial"/>
                <w:sz w:val="20"/>
                <w:szCs w:val="20"/>
                <w:lang w:eastAsia="en-CA"/>
              </w:rPr>
            </w:pPr>
            <w:r>
              <w:rPr>
                <w:rFonts w:ascii="Arial" w:eastAsia="Times New Roman" w:hAnsi="Arial" w:cs="Arial"/>
                <w:sz w:val="20"/>
                <w:szCs w:val="20"/>
                <w:lang w:eastAsia="en-CA"/>
              </w:rPr>
              <w:t>General Health</w:t>
            </w:r>
          </w:p>
        </w:tc>
        <w:tc>
          <w:tcPr>
            <w:tcW w:w="2520" w:type="dxa"/>
            <w:vMerge w:val="restart"/>
            <w:tcBorders>
              <w:top w:val="outset" w:sz="6" w:space="0" w:color="auto"/>
              <w:left w:val="outset" w:sz="6" w:space="0" w:color="auto"/>
              <w:right w:val="outset" w:sz="6" w:space="0" w:color="auto"/>
            </w:tcBorders>
            <w:vAlign w:val="center"/>
            <w:hideMark/>
          </w:tcPr>
          <w:p w:rsidR="00D011F3" w:rsidRPr="00851613" w:rsidRDefault="00D011F3" w:rsidP="00851613">
            <w:pPr>
              <w:spacing w:before="100" w:beforeAutospacing="1" w:after="100" w:afterAutospacing="1" w:line="240" w:lineRule="auto"/>
              <w:rPr>
                <w:rFonts w:ascii="Arial" w:eastAsia="Times New Roman" w:hAnsi="Arial" w:cs="Arial"/>
                <w:sz w:val="20"/>
                <w:szCs w:val="20"/>
                <w:lang w:eastAsia="en-CA"/>
              </w:rPr>
            </w:pPr>
            <w:r>
              <w:rPr>
                <w:rFonts w:ascii="Arial" w:eastAsia="Times New Roman" w:hAnsi="Arial" w:cs="Arial"/>
                <w:sz w:val="20"/>
                <w:szCs w:val="20"/>
                <w:lang w:eastAsia="en-CA"/>
              </w:rPr>
              <w:t xml:space="preserve">How would you describe your sense of belonging to your local community? Would you say it </w:t>
            </w:r>
            <w:proofErr w:type="gramStart"/>
            <w:r>
              <w:rPr>
                <w:rFonts w:ascii="Arial" w:eastAsia="Times New Roman" w:hAnsi="Arial" w:cs="Arial"/>
                <w:sz w:val="20"/>
                <w:szCs w:val="20"/>
                <w:lang w:eastAsia="en-CA"/>
              </w:rPr>
              <w:t>is ...</w:t>
            </w:r>
            <w:proofErr w:type="gramEnd"/>
            <w:r>
              <w:rPr>
                <w:rFonts w:ascii="Arial" w:eastAsia="Times New Roman" w:hAnsi="Arial" w:cs="Arial"/>
                <w:sz w:val="20"/>
                <w:szCs w:val="20"/>
                <w:lang w:eastAsia="en-CA"/>
              </w:rPr>
              <w:t xml:space="preserve"> ?</w:t>
            </w:r>
          </w:p>
          <w:p w:rsidR="00D011F3" w:rsidRPr="00851613" w:rsidRDefault="00D011F3" w:rsidP="00D011F3">
            <w:pPr>
              <w:spacing w:before="100" w:beforeAutospacing="1" w:after="100" w:afterAutospacing="1" w:line="240" w:lineRule="auto"/>
              <w:rPr>
                <w:rFonts w:ascii="Arial" w:eastAsia="Times New Roman" w:hAnsi="Arial" w:cs="Arial"/>
                <w:sz w:val="20"/>
                <w:szCs w:val="20"/>
                <w:lang w:eastAsia="en-CA"/>
              </w:rPr>
            </w:pPr>
            <w:r>
              <w:rPr>
                <w:rFonts w:ascii="Arial" w:eastAsia="Times New Roman" w:hAnsi="Arial" w:cs="Arial"/>
                <w:sz w:val="20"/>
                <w:szCs w:val="20"/>
                <w:lang w:eastAsia="en-CA"/>
              </w:rPr>
              <w:t xml:space="preserve">I </w:t>
            </w:r>
          </w:p>
        </w:tc>
        <w:tc>
          <w:tcPr>
            <w:tcW w:w="1842" w:type="dxa"/>
            <w:vMerge w:val="restart"/>
            <w:tcBorders>
              <w:top w:val="outset" w:sz="6" w:space="0" w:color="auto"/>
              <w:left w:val="outset" w:sz="6" w:space="0" w:color="auto"/>
              <w:right w:val="outset" w:sz="6" w:space="0" w:color="auto"/>
            </w:tcBorders>
            <w:vAlign w:val="center"/>
            <w:hideMark/>
          </w:tcPr>
          <w:p w:rsidR="00D011F3" w:rsidRPr="00851613" w:rsidRDefault="00D011F3" w:rsidP="00851613">
            <w:pPr>
              <w:spacing w:before="100" w:beforeAutospacing="1" w:after="100" w:afterAutospacing="1" w:line="240" w:lineRule="auto"/>
              <w:rPr>
                <w:rFonts w:ascii="Arial" w:eastAsia="Times New Roman" w:hAnsi="Arial" w:cs="Arial"/>
                <w:sz w:val="20"/>
                <w:szCs w:val="20"/>
                <w:lang w:eastAsia="en-CA"/>
              </w:rPr>
            </w:pPr>
            <w:r>
              <w:rPr>
                <w:rFonts w:ascii="Arial" w:eastAsia="Times New Roman" w:hAnsi="Arial" w:cs="Arial"/>
                <w:sz w:val="20"/>
                <w:szCs w:val="20"/>
                <w:lang w:eastAsia="en-CA"/>
              </w:rPr>
              <w:t>Very Strong</w:t>
            </w:r>
            <w:r>
              <w:rPr>
                <w:rFonts w:ascii="Arial" w:eastAsia="Times New Roman" w:hAnsi="Arial" w:cs="Arial"/>
                <w:sz w:val="20"/>
                <w:szCs w:val="20"/>
                <w:lang w:eastAsia="en-CA"/>
              </w:rPr>
              <w:br/>
              <w:t>Somewhat Strong</w:t>
            </w:r>
            <w:r>
              <w:rPr>
                <w:rFonts w:ascii="Arial" w:eastAsia="Times New Roman" w:hAnsi="Arial" w:cs="Arial"/>
                <w:sz w:val="20"/>
                <w:szCs w:val="20"/>
                <w:lang w:eastAsia="en-CA"/>
              </w:rPr>
              <w:br/>
              <w:t>Somewhat Weak</w:t>
            </w:r>
            <w:r>
              <w:rPr>
                <w:rFonts w:ascii="Arial" w:eastAsia="Times New Roman" w:hAnsi="Arial" w:cs="Arial"/>
                <w:sz w:val="20"/>
                <w:szCs w:val="20"/>
                <w:lang w:eastAsia="en-CA"/>
              </w:rPr>
              <w:br/>
              <w:t>Very Weak</w:t>
            </w:r>
            <w:r>
              <w:rPr>
                <w:rFonts w:ascii="Arial" w:eastAsia="Times New Roman" w:hAnsi="Arial" w:cs="Arial"/>
                <w:sz w:val="20"/>
                <w:szCs w:val="20"/>
                <w:lang w:eastAsia="en-CA"/>
              </w:rPr>
              <w:br/>
              <w:t>Don’t Know</w:t>
            </w:r>
            <w:r>
              <w:rPr>
                <w:rFonts w:ascii="Arial" w:eastAsia="Times New Roman" w:hAnsi="Arial" w:cs="Arial"/>
                <w:sz w:val="20"/>
                <w:szCs w:val="20"/>
                <w:lang w:eastAsia="en-CA"/>
              </w:rPr>
              <w:br/>
              <w:t>Refused</w:t>
            </w:r>
          </w:p>
        </w:tc>
        <w:tc>
          <w:tcPr>
            <w:tcW w:w="990" w:type="dxa"/>
            <w:tcBorders>
              <w:top w:val="outset" w:sz="6" w:space="0" w:color="auto"/>
              <w:left w:val="outset" w:sz="6" w:space="0" w:color="auto"/>
              <w:bottom w:val="outset" w:sz="6" w:space="0" w:color="auto"/>
              <w:right w:val="outset" w:sz="6" w:space="0" w:color="auto"/>
            </w:tcBorders>
            <w:vAlign w:val="center"/>
            <w:hideMark/>
          </w:tcPr>
          <w:p w:rsidR="00D011F3" w:rsidRPr="00851613" w:rsidRDefault="00D011F3" w:rsidP="00851613">
            <w:pPr>
              <w:spacing w:before="100" w:beforeAutospacing="1" w:after="100" w:afterAutospacing="1" w:line="240" w:lineRule="auto"/>
              <w:rPr>
                <w:rFonts w:ascii="Arial" w:eastAsia="Times New Roman" w:hAnsi="Arial" w:cs="Arial"/>
                <w:sz w:val="20"/>
                <w:szCs w:val="20"/>
                <w:lang w:eastAsia="en-CA"/>
              </w:rPr>
            </w:pPr>
            <w:r>
              <w:rPr>
                <w:rFonts w:ascii="Arial" w:eastAsia="Times New Roman" w:hAnsi="Arial" w:cs="Arial"/>
                <w:sz w:val="20"/>
                <w:szCs w:val="20"/>
                <w:lang w:eastAsia="en-CA"/>
              </w:rPr>
              <w:t>2007-2014</w:t>
            </w:r>
          </w:p>
        </w:tc>
        <w:tc>
          <w:tcPr>
            <w:tcW w:w="1275" w:type="dxa"/>
            <w:tcBorders>
              <w:top w:val="outset" w:sz="6" w:space="0" w:color="auto"/>
              <w:left w:val="outset" w:sz="6" w:space="0" w:color="auto"/>
              <w:bottom w:val="outset" w:sz="6" w:space="0" w:color="auto"/>
              <w:right w:val="outset" w:sz="6" w:space="0" w:color="auto"/>
            </w:tcBorders>
            <w:vAlign w:val="center"/>
            <w:hideMark/>
          </w:tcPr>
          <w:p w:rsidR="00D011F3" w:rsidRPr="00851613" w:rsidRDefault="00D011F3" w:rsidP="00851613">
            <w:pPr>
              <w:spacing w:before="100" w:beforeAutospacing="1" w:after="100" w:afterAutospacing="1" w:line="240" w:lineRule="auto"/>
              <w:rPr>
                <w:rFonts w:ascii="Arial" w:eastAsia="Times New Roman" w:hAnsi="Arial" w:cs="Arial"/>
                <w:sz w:val="20"/>
                <w:szCs w:val="20"/>
                <w:lang w:eastAsia="en-CA"/>
              </w:rPr>
            </w:pPr>
            <w:r>
              <w:rPr>
                <w:rFonts w:ascii="Arial" w:eastAsia="Times New Roman" w:hAnsi="Arial" w:cs="Arial"/>
                <w:sz w:val="20"/>
                <w:szCs w:val="20"/>
                <w:lang w:eastAsia="en-CA"/>
              </w:rPr>
              <w:t>GEN_10</w:t>
            </w:r>
          </w:p>
        </w:tc>
      </w:tr>
      <w:tr w:rsidR="00D011F3" w:rsidRPr="00851613" w:rsidTr="00CA4377">
        <w:trPr>
          <w:tblCellSpacing w:w="0" w:type="dxa"/>
        </w:trPr>
        <w:tc>
          <w:tcPr>
            <w:tcW w:w="915" w:type="dxa"/>
            <w:vMerge/>
            <w:tcBorders>
              <w:left w:val="outset" w:sz="6" w:space="0" w:color="auto"/>
              <w:right w:val="outset" w:sz="6" w:space="0" w:color="auto"/>
            </w:tcBorders>
            <w:vAlign w:val="center"/>
            <w:hideMark/>
          </w:tcPr>
          <w:p w:rsidR="00D011F3" w:rsidRPr="00851613" w:rsidRDefault="00D011F3" w:rsidP="00851613">
            <w:pPr>
              <w:spacing w:before="100" w:beforeAutospacing="1" w:after="100" w:afterAutospacing="1" w:line="240" w:lineRule="auto"/>
              <w:rPr>
                <w:rFonts w:ascii="Arial" w:eastAsia="Times New Roman" w:hAnsi="Arial" w:cs="Arial"/>
                <w:sz w:val="20"/>
                <w:szCs w:val="20"/>
                <w:lang w:eastAsia="en-CA"/>
              </w:rPr>
            </w:pPr>
          </w:p>
        </w:tc>
        <w:tc>
          <w:tcPr>
            <w:tcW w:w="975" w:type="dxa"/>
            <w:vMerge/>
            <w:tcBorders>
              <w:left w:val="outset" w:sz="6" w:space="0" w:color="auto"/>
              <w:right w:val="outset" w:sz="6" w:space="0" w:color="auto"/>
            </w:tcBorders>
            <w:vAlign w:val="center"/>
            <w:hideMark/>
          </w:tcPr>
          <w:p w:rsidR="00D011F3" w:rsidRDefault="00D011F3" w:rsidP="00851613">
            <w:pPr>
              <w:spacing w:before="100" w:beforeAutospacing="1" w:after="100" w:afterAutospacing="1" w:line="240" w:lineRule="auto"/>
              <w:rPr>
                <w:rFonts w:ascii="Arial" w:eastAsia="Times New Roman" w:hAnsi="Arial" w:cs="Arial"/>
                <w:sz w:val="20"/>
                <w:szCs w:val="20"/>
                <w:lang w:eastAsia="en-CA"/>
              </w:rPr>
            </w:pPr>
          </w:p>
        </w:tc>
        <w:tc>
          <w:tcPr>
            <w:tcW w:w="2520" w:type="dxa"/>
            <w:vMerge/>
            <w:tcBorders>
              <w:left w:val="outset" w:sz="6" w:space="0" w:color="auto"/>
              <w:right w:val="outset" w:sz="6" w:space="0" w:color="auto"/>
            </w:tcBorders>
            <w:vAlign w:val="center"/>
            <w:hideMark/>
          </w:tcPr>
          <w:p w:rsidR="00D011F3" w:rsidRDefault="00D011F3" w:rsidP="00D011F3">
            <w:pPr>
              <w:spacing w:before="100" w:beforeAutospacing="1" w:after="100" w:afterAutospacing="1" w:line="240" w:lineRule="auto"/>
              <w:rPr>
                <w:rFonts w:ascii="Arial" w:eastAsia="Times New Roman" w:hAnsi="Arial" w:cs="Arial"/>
                <w:sz w:val="20"/>
                <w:szCs w:val="20"/>
                <w:lang w:eastAsia="en-CA"/>
              </w:rPr>
            </w:pPr>
          </w:p>
        </w:tc>
        <w:tc>
          <w:tcPr>
            <w:tcW w:w="1842" w:type="dxa"/>
            <w:vMerge/>
            <w:tcBorders>
              <w:left w:val="outset" w:sz="6" w:space="0" w:color="auto"/>
              <w:right w:val="outset" w:sz="6" w:space="0" w:color="auto"/>
            </w:tcBorders>
            <w:vAlign w:val="center"/>
            <w:hideMark/>
          </w:tcPr>
          <w:p w:rsidR="00D011F3" w:rsidRDefault="00D011F3" w:rsidP="00851613">
            <w:pPr>
              <w:spacing w:before="100" w:beforeAutospacing="1" w:after="100" w:afterAutospacing="1" w:line="240" w:lineRule="auto"/>
              <w:rPr>
                <w:rFonts w:ascii="Arial" w:eastAsia="Times New Roman" w:hAnsi="Arial" w:cs="Arial"/>
                <w:sz w:val="20"/>
                <w:szCs w:val="20"/>
                <w:lang w:eastAsia="en-CA"/>
              </w:rPr>
            </w:pPr>
          </w:p>
        </w:tc>
        <w:tc>
          <w:tcPr>
            <w:tcW w:w="990" w:type="dxa"/>
            <w:tcBorders>
              <w:top w:val="outset" w:sz="6" w:space="0" w:color="auto"/>
              <w:left w:val="outset" w:sz="6" w:space="0" w:color="auto"/>
              <w:bottom w:val="outset" w:sz="6" w:space="0" w:color="auto"/>
              <w:right w:val="outset" w:sz="6" w:space="0" w:color="auto"/>
            </w:tcBorders>
            <w:vAlign w:val="center"/>
            <w:hideMark/>
          </w:tcPr>
          <w:p w:rsidR="00D011F3" w:rsidRDefault="00D011F3" w:rsidP="00851613">
            <w:pPr>
              <w:spacing w:before="100" w:beforeAutospacing="1" w:after="100" w:afterAutospacing="1" w:line="240" w:lineRule="auto"/>
              <w:rPr>
                <w:rFonts w:ascii="Arial" w:eastAsia="Times New Roman" w:hAnsi="Arial" w:cs="Arial"/>
                <w:sz w:val="20"/>
                <w:szCs w:val="20"/>
                <w:lang w:eastAsia="en-CA"/>
              </w:rPr>
            </w:pPr>
            <w:r>
              <w:rPr>
                <w:rFonts w:ascii="Arial" w:eastAsia="Times New Roman" w:hAnsi="Arial" w:cs="Arial"/>
                <w:sz w:val="20"/>
                <w:szCs w:val="20"/>
                <w:lang w:eastAsia="en-CA"/>
              </w:rPr>
              <w:t>2005</w:t>
            </w:r>
          </w:p>
        </w:tc>
        <w:tc>
          <w:tcPr>
            <w:tcW w:w="1275" w:type="dxa"/>
            <w:tcBorders>
              <w:top w:val="outset" w:sz="6" w:space="0" w:color="auto"/>
              <w:left w:val="outset" w:sz="6" w:space="0" w:color="auto"/>
              <w:bottom w:val="outset" w:sz="6" w:space="0" w:color="auto"/>
              <w:right w:val="outset" w:sz="6" w:space="0" w:color="auto"/>
            </w:tcBorders>
            <w:vAlign w:val="center"/>
            <w:hideMark/>
          </w:tcPr>
          <w:p w:rsidR="00D011F3" w:rsidRDefault="00D011F3" w:rsidP="00D011F3">
            <w:pPr>
              <w:spacing w:before="100" w:beforeAutospacing="1" w:after="100" w:afterAutospacing="1" w:line="240" w:lineRule="auto"/>
              <w:rPr>
                <w:rFonts w:ascii="Arial" w:eastAsia="Times New Roman" w:hAnsi="Arial" w:cs="Arial"/>
                <w:sz w:val="20"/>
                <w:szCs w:val="20"/>
                <w:lang w:eastAsia="en-CA"/>
              </w:rPr>
            </w:pPr>
            <w:r>
              <w:rPr>
                <w:rFonts w:ascii="Arial" w:eastAsia="Times New Roman" w:hAnsi="Arial" w:cs="Arial"/>
                <w:sz w:val="20"/>
                <w:szCs w:val="20"/>
                <w:lang w:eastAsia="en-CA"/>
              </w:rPr>
              <w:t>GENE_10</w:t>
            </w:r>
          </w:p>
        </w:tc>
      </w:tr>
      <w:tr w:rsidR="00D011F3" w:rsidRPr="00851613" w:rsidTr="00CA4377">
        <w:trPr>
          <w:tblCellSpacing w:w="0" w:type="dxa"/>
        </w:trPr>
        <w:tc>
          <w:tcPr>
            <w:tcW w:w="915" w:type="dxa"/>
            <w:vMerge/>
            <w:tcBorders>
              <w:left w:val="outset" w:sz="6" w:space="0" w:color="auto"/>
              <w:right w:val="outset" w:sz="6" w:space="0" w:color="auto"/>
            </w:tcBorders>
            <w:vAlign w:val="center"/>
            <w:hideMark/>
          </w:tcPr>
          <w:p w:rsidR="00D011F3" w:rsidRPr="00851613" w:rsidRDefault="00D011F3" w:rsidP="00851613">
            <w:pPr>
              <w:spacing w:before="100" w:beforeAutospacing="1" w:after="100" w:afterAutospacing="1" w:line="240" w:lineRule="auto"/>
              <w:rPr>
                <w:rFonts w:ascii="Arial" w:eastAsia="Times New Roman" w:hAnsi="Arial" w:cs="Arial"/>
                <w:sz w:val="20"/>
                <w:szCs w:val="20"/>
                <w:lang w:eastAsia="en-CA"/>
              </w:rPr>
            </w:pPr>
          </w:p>
        </w:tc>
        <w:tc>
          <w:tcPr>
            <w:tcW w:w="975" w:type="dxa"/>
            <w:vMerge/>
            <w:tcBorders>
              <w:left w:val="outset" w:sz="6" w:space="0" w:color="auto"/>
              <w:right w:val="outset" w:sz="6" w:space="0" w:color="auto"/>
            </w:tcBorders>
            <w:vAlign w:val="center"/>
            <w:hideMark/>
          </w:tcPr>
          <w:p w:rsidR="00D011F3" w:rsidRDefault="00D011F3" w:rsidP="00851613">
            <w:pPr>
              <w:spacing w:before="100" w:beforeAutospacing="1" w:after="100" w:afterAutospacing="1" w:line="240" w:lineRule="auto"/>
              <w:rPr>
                <w:rFonts w:ascii="Arial" w:eastAsia="Times New Roman" w:hAnsi="Arial" w:cs="Arial"/>
                <w:sz w:val="20"/>
                <w:szCs w:val="20"/>
                <w:lang w:eastAsia="en-CA"/>
              </w:rPr>
            </w:pPr>
          </w:p>
        </w:tc>
        <w:tc>
          <w:tcPr>
            <w:tcW w:w="2520" w:type="dxa"/>
            <w:vMerge/>
            <w:tcBorders>
              <w:left w:val="outset" w:sz="6" w:space="0" w:color="auto"/>
              <w:right w:val="outset" w:sz="6" w:space="0" w:color="auto"/>
            </w:tcBorders>
            <w:vAlign w:val="center"/>
            <w:hideMark/>
          </w:tcPr>
          <w:p w:rsidR="00D011F3" w:rsidRDefault="00D011F3" w:rsidP="00D011F3">
            <w:pPr>
              <w:spacing w:before="100" w:beforeAutospacing="1" w:after="100" w:afterAutospacing="1" w:line="240" w:lineRule="auto"/>
              <w:rPr>
                <w:rFonts w:ascii="Arial" w:eastAsia="Times New Roman" w:hAnsi="Arial" w:cs="Arial"/>
                <w:sz w:val="20"/>
                <w:szCs w:val="20"/>
                <w:lang w:eastAsia="en-CA"/>
              </w:rPr>
            </w:pPr>
          </w:p>
        </w:tc>
        <w:tc>
          <w:tcPr>
            <w:tcW w:w="1842" w:type="dxa"/>
            <w:vMerge/>
            <w:tcBorders>
              <w:left w:val="outset" w:sz="6" w:space="0" w:color="auto"/>
              <w:right w:val="outset" w:sz="6" w:space="0" w:color="auto"/>
            </w:tcBorders>
            <w:vAlign w:val="center"/>
            <w:hideMark/>
          </w:tcPr>
          <w:p w:rsidR="00D011F3" w:rsidRDefault="00D011F3" w:rsidP="00851613">
            <w:pPr>
              <w:spacing w:before="100" w:beforeAutospacing="1" w:after="100" w:afterAutospacing="1" w:line="240" w:lineRule="auto"/>
              <w:rPr>
                <w:rFonts w:ascii="Arial" w:eastAsia="Times New Roman" w:hAnsi="Arial" w:cs="Arial"/>
                <w:sz w:val="20"/>
                <w:szCs w:val="20"/>
                <w:lang w:eastAsia="en-CA"/>
              </w:rPr>
            </w:pPr>
          </w:p>
        </w:tc>
        <w:tc>
          <w:tcPr>
            <w:tcW w:w="990" w:type="dxa"/>
            <w:tcBorders>
              <w:top w:val="outset" w:sz="6" w:space="0" w:color="auto"/>
              <w:left w:val="outset" w:sz="6" w:space="0" w:color="auto"/>
              <w:bottom w:val="outset" w:sz="6" w:space="0" w:color="auto"/>
              <w:right w:val="outset" w:sz="6" w:space="0" w:color="auto"/>
            </w:tcBorders>
            <w:vAlign w:val="center"/>
            <w:hideMark/>
          </w:tcPr>
          <w:p w:rsidR="00D011F3" w:rsidRDefault="00D011F3" w:rsidP="00851613">
            <w:pPr>
              <w:spacing w:before="100" w:beforeAutospacing="1" w:after="100" w:afterAutospacing="1" w:line="240" w:lineRule="auto"/>
              <w:rPr>
                <w:rFonts w:ascii="Arial" w:eastAsia="Times New Roman" w:hAnsi="Arial" w:cs="Arial"/>
                <w:sz w:val="20"/>
                <w:szCs w:val="20"/>
                <w:lang w:eastAsia="en-CA"/>
              </w:rPr>
            </w:pPr>
            <w:r>
              <w:rPr>
                <w:rFonts w:ascii="Arial" w:eastAsia="Times New Roman" w:hAnsi="Arial" w:cs="Arial"/>
                <w:sz w:val="20"/>
                <w:szCs w:val="20"/>
                <w:lang w:eastAsia="en-CA"/>
              </w:rPr>
              <w:t>2003</w:t>
            </w:r>
          </w:p>
        </w:tc>
        <w:tc>
          <w:tcPr>
            <w:tcW w:w="1275" w:type="dxa"/>
            <w:tcBorders>
              <w:top w:val="outset" w:sz="6" w:space="0" w:color="auto"/>
              <w:left w:val="outset" w:sz="6" w:space="0" w:color="auto"/>
              <w:bottom w:val="outset" w:sz="6" w:space="0" w:color="auto"/>
              <w:right w:val="outset" w:sz="6" w:space="0" w:color="auto"/>
            </w:tcBorders>
            <w:vAlign w:val="center"/>
            <w:hideMark/>
          </w:tcPr>
          <w:p w:rsidR="00D011F3" w:rsidRDefault="00D011F3" w:rsidP="00851613">
            <w:pPr>
              <w:spacing w:before="100" w:beforeAutospacing="1" w:after="100" w:afterAutospacing="1" w:line="240" w:lineRule="auto"/>
              <w:rPr>
                <w:rFonts w:ascii="Arial" w:eastAsia="Times New Roman" w:hAnsi="Arial" w:cs="Arial"/>
                <w:sz w:val="20"/>
                <w:szCs w:val="20"/>
                <w:lang w:eastAsia="en-CA"/>
              </w:rPr>
            </w:pPr>
            <w:r>
              <w:rPr>
                <w:rFonts w:ascii="Arial" w:eastAsia="Times New Roman" w:hAnsi="Arial" w:cs="Arial"/>
                <w:sz w:val="20"/>
                <w:szCs w:val="20"/>
                <w:lang w:eastAsia="en-CA"/>
              </w:rPr>
              <w:t>GENC_10</w:t>
            </w:r>
          </w:p>
        </w:tc>
      </w:tr>
      <w:tr w:rsidR="00D011F3" w:rsidRPr="00851613" w:rsidTr="00CA4377">
        <w:trPr>
          <w:tblCellSpacing w:w="0" w:type="dxa"/>
        </w:trPr>
        <w:tc>
          <w:tcPr>
            <w:tcW w:w="915" w:type="dxa"/>
            <w:vMerge/>
            <w:tcBorders>
              <w:left w:val="outset" w:sz="6" w:space="0" w:color="auto"/>
              <w:bottom w:val="outset" w:sz="6" w:space="0" w:color="auto"/>
              <w:right w:val="outset" w:sz="6" w:space="0" w:color="auto"/>
            </w:tcBorders>
            <w:vAlign w:val="center"/>
            <w:hideMark/>
          </w:tcPr>
          <w:p w:rsidR="00D011F3" w:rsidRPr="00851613" w:rsidRDefault="00D011F3" w:rsidP="00851613">
            <w:pPr>
              <w:spacing w:before="100" w:beforeAutospacing="1" w:after="100" w:afterAutospacing="1" w:line="240" w:lineRule="auto"/>
              <w:rPr>
                <w:rFonts w:ascii="Arial" w:eastAsia="Times New Roman" w:hAnsi="Arial" w:cs="Arial"/>
                <w:sz w:val="20"/>
                <w:szCs w:val="20"/>
                <w:lang w:eastAsia="en-CA"/>
              </w:rPr>
            </w:pPr>
          </w:p>
        </w:tc>
        <w:tc>
          <w:tcPr>
            <w:tcW w:w="975" w:type="dxa"/>
            <w:vMerge/>
            <w:tcBorders>
              <w:left w:val="outset" w:sz="6" w:space="0" w:color="auto"/>
              <w:bottom w:val="outset" w:sz="6" w:space="0" w:color="auto"/>
              <w:right w:val="outset" w:sz="6" w:space="0" w:color="auto"/>
            </w:tcBorders>
            <w:vAlign w:val="center"/>
            <w:hideMark/>
          </w:tcPr>
          <w:p w:rsidR="00D011F3" w:rsidRDefault="00D011F3" w:rsidP="00851613">
            <w:pPr>
              <w:spacing w:before="100" w:beforeAutospacing="1" w:after="100" w:afterAutospacing="1" w:line="240" w:lineRule="auto"/>
              <w:rPr>
                <w:rFonts w:ascii="Arial" w:eastAsia="Times New Roman" w:hAnsi="Arial" w:cs="Arial"/>
                <w:sz w:val="20"/>
                <w:szCs w:val="20"/>
                <w:lang w:eastAsia="en-CA"/>
              </w:rPr>
            </w:pPr>
          </w:p>
        </w:tc>
        <w:tc>
          <w:tcPr>
            <w:tcW w:w="2520" w:type="dxa"/>
            <w:vMerge/>
            <w:tcBorders>
              <w:left w:val="outset" w:sz="6" w:space="0" w:color="auto"/>
              <w:bottom w:val="outset" w:sz="6" w:space="0" w:color="auto"/>
              <w:right w:val="outset" w:sz="6" w:space="0" w:color="auto"/>
            </w:tcBorders>
            <w:vAlign w:val="center"/>
            <w:hideMark/>
          </w:tcPr>
          <w:p w:rsidR="00D011F3" w:rsidRDefault="00D011F3" w:rsidP="00851613">
            <w:pPr>
              <w:spacing w:before="100" w:beforeAutospacing="1" w:after="100" w:afterAutospacing="1" w:line="240" w:lineRule="auto"/>
              <w:rPr>
                <w:rFonts w:ascii="Arial" w:eastAsia="Times New Roman" w:hAnsi="Arial" w:cs="Arial"/>
                <w:sz w:val="20"/>
                <w:szCs w:val="20"/>
                <w:lang w:eastAsia="en-CA"/>
              </w:rPr>
            </w:pPr>
          </w:p>
        </w:tc>
        <w:tc>
          <w:tcPr>
            <w:tcW w:w="1842" w:type="dxa"/>
            <w:vMerge/>
            <w:tcBorders>
              <w:left w:val="outset" w:sz="6" w:space="0" w:color="auto"/>
              <w:bottom w:val="outset" w:sz="6" w:space="0" w:color="auto"/>
              <w:right w:val="outset" w:sz="6" w:space="0" w:color="auto"/>
            </w:tcBorders>
            <w:vAlign w:val="center"/>
            <w:hideMark/>
          </w:tcPr>
          <w:p w:rsidR="00D011F3" w:rsidRDefault="00D011F3" w:rsidP="00851613">
            <w:pPr>
              <w:spacing w:before="100" w:beforeAutospacing="1" w:after="100" w:afterAutospacing="1" w:line="240" w:lineRule="auto"/>
              <w:rPr>
                <w:rFonts w:ascii="Arial" w:eastAsia="Times New Roman" w:hAnsi="Arial" w:cs="Arial"/>
                <w:sz w:val="20"/>
                <w:szCs w:val="20"/>
                <w:lang w:eastAsia="en-CA"/>
              </w:rPr>
            </w:pPr>
          </w:p>
        </w:tc>
        <w:tc>
          <w:tcPr>
            <w:tcW w:w="990" w:type="dxa"/>
            <w:tcBorders>
              <w:top w:val="outset" w:sz="6" w:space="0" w:color="auto"/>
              <w:left w:val="outset" w:sz="6" w:space="0" w:color="auto"/>
              <w:bottom w:val="outset" w:sz="6" w:space="0" w:color="auto"/>
              <w:right w:val="outset" w:sz="6" w:space="0" w:color="auto"/>
            </w:tcBorders>
            <w:vAlign w:val="center"/>
            <w:hideMark/>
          </w:tcPr>
          <w:p w:rsidR="00D011F3" w:rsidRDefault="00D011F3" w:rsidP="00851613">
            <w:pPr>
              <w:spacing w:before="100" w:beforeAutospacing="1" w:after="100" w:afterAutospacing="1" w:line="240" w:lineRule="auto"/>
              <w:rPr>
                <w:rFonts w:ascii="Arial" w:eastAsia="Times New Roman" w:hAnsi="Arial" w:cs="Arial"/>
                <w:sz w:val="20"/>
                <w:szCs w:val="20"/>
                <w:lang w:eastAsia="en-CA"/>
              </w:rPr>
            </w:pPr>
            <w:r>
              <w:rPr>
                <w:rFonts w:ascii="Arial" w:eastAsia="Times New Roman" w:hAnsi="Arial" w:cs="Arial"/>
                <w:sz w:val="20"/>
                <w:szCs w:val="20"/>
                <w:lang w:eastAsia="en-CA"/>
              </w:rPr>
              <w:t>2000-1</w:t>
            </w:r>
          </w:p>
        </w:tc>
        <w:tc>
          <w:tcPr>
            <w:tcW w:w="1275" w:type="dxa"/>
            <w:tcBorders>
              <w:top w:val="outset" w:sz="6" w:space="0" w:color="auto"/>
              <w:left w:val="outset" w:sz="6" w:space="0" w:color="auto"/>
              <w:bottom w:val="outset" w:sz="6" w:space="0" w:color="auto"/>
              <w:right w:val="outset" w:sz="6" w:space="0" w:color="auto"/>
            </w:tcBorders>
            <w:vAlign w:val="center"/>
            <w:hideMark/>
          </w:tcPr>
          <w:p w:rsidR="00D011F3" w:rsidRDefault="00D011F3" w:rsidP="00C15905">
            <w:pPr>
              <w:spacing w:before="100" w:beforeAutospacing="1" w:after="100" w:afterAutospacing="1" w:line="240" w:lineRule="auto"/>
              <w:rPr>
                <w:rFonts w:ascii="Arial" w:eastAsia="Times New Roman" w:hAnsi="Arial" w:cs="Arial"/>
                <w:sz w:val="20"/>
                <w:szCs w:val="20"/>
                <w:lang w:eastAsia="en-CA"/>
              </w:rPr>
            </w:pPr>
            <w:r>
              <w:rPr>
                <w:rFonts w:ascii="Arial" w:eastAsia="Times New Roman" w:hAnsi="Arial" w:cs="Arial"/>
                <w:sz w:val="20"/>
                <w:szCs w:val="20"/>
                <w:lang w:eastAsia="en-CA"/>
              </w:rPr>
              <w:t>GENA_10</w:t>
            </w:r>
          </w:p>
        </w:tc>
      </w:tr>
    </w:tbl>
    <w:p w:rsidR="00851613" w:rsidRPr="00851613" w:rsidRDefault="00851613" w:rsidP="00851613">
      <w:pPr>
        <w:spacing w:before="100" w:beforeAutospacing="1" w:after="100" w:afterAutospacing="1" w:line="240" w:lineRule="auto"/>
        <w:rPr>
          <w:rFonts w:ascii="Tahoma" w:eastAsia="Times New Roman" w:hAnsi="Tahoma" w:cs="Tahoma"/>
          <w:lang w:eastAsia="en-CA"/>
        </w:rPr>
      </w:pPr>
      <w:bookmarkStart w:id="7" w:name="alternative"/>
      <w:bookmarkEnd w:id="7"/>
      <w:r w:rsidRPr="00851613">
        <w:rPr>
          <w:rFonts w:ascii="Tahoma" w:eastAsia="Times New Roman" w:hAnsi="Tahoma" w:cs="Tahoma"/>
          <w:b/>
          <w:bCs/>
          <w:sz w:val="24"/>
          <w:szCs w:val="24"/>
          <w:lang w:eastAsia="en-CA"/>
        </w:rPr>
        <w:lastRenderedPageBreak/>
        <w:t>Alternative Data Source(s)</w:t>
      </w:r>
    </w:p>
    <w:p w:rsidR="00851613" w:rsidRPr="00F97433" w:rsidRDefault="00F97433" w:rsidP="00851613">
      <w:pPr>
        <w:spacing w:before="100" w:beforeAutospacing="1" w:after="100" w:afterAutospacing="1" w:line="240" w:lineRule="auto"/>
        <w:rPr>
          <w:rFonts w:ascii="Tahoma" w:eastAsia="Times New Roman" w:hAnsi="Tahoma" w:cs="Tahoma"/>
          <w:lang w:eastAsia="en-CA"/>
        </w:rPr>
      </w:pPr>
      <w:proofErr w:type="gramStart"/>
      <w:r w:rsidRPr="00F97433">
        <w:rPr>
          <w:rFonts w:ascii="Tahoma" w:eastAsia="Times New Roman" w:hAnsi="Tahoma" w:cs="Tahoma"/>
          <w:iCs/>
          <w:sz w:val="20"/>
          <w:szCs w:val="20"/>
          <w:lang w:eastAsia="en-CA"/>
        </w:rPr>
        <w:t>None.</w:t>
      </w:r>
      <w:proofErr w:type="gramEnd"/>
      <w:r w:rsidR="00851613" w:rsidRPr="00F97433">
        <w:rPr>
          <w:rFonts w:ascii="Tahoma" w:eastAsia="Times New Roman" w:hAnsi="Tahoma" w:cs="Tahoma"/>
          <w:lang w:eastAsia="en-CA"/>
        </w:rPr>
        <w:t> </w:t>
      </w:r>
    </w:p>
    <w:p w:rsidR="00851613" w:rsidRPr="00851613" w:rsidRDefault="00851613" w:rsidP="00851613">
      <w:pPr>
        <w:spacing w:before="100" w:beforeAutospacing="1" w:after="100" w:afterAutospacing="1" w:line="240" w:lineRule="auto"/>
        <w:rPr>
          <w:rFonts w:ascii="Tahoma" w:eastAsia="Times New Roman" w:hAnsi="Tahoma" w:cs="Tahoma"/>
          <w:lang w:eastAsia="en-CA"/>
        </w:rPr>
      </w:pPr>
      <w:bookmarkStart w:id="8" w:name="icd"/>
      <w:bookmarkEnd w:id="8"/>
      <w:r w:rsidRPr="00851613">
        <w:rPr>
          <w:rFonts w:ascii="Tahoma" w:eastAsia="Times New Roman" w:hAnsi="Tahoma" w:cs="Tahoma"/>
          <w:b/>
          <w:bCs/>
          <w:sz w:val="24"/>
          <w:szCs w:val="24"/>
          <w:lang w:eastAsia="en-CA"/>
        </w:rPr>
        <w:t>ICD Code(s)</w:t>
      </w:r>
    </w:p>
    <w:p w:rsidR="00851613" w:rsidRPr="00413D5D" w:rsidRDefault="00413D5D" w:rsidP="00413D5D">
      <w:pPr>
        <w:spacing w:before="100" w:beforeAutospacing="1" w:after="100" w:afterAutospacing="1" w:line="240" w:lineRule="auto"/>
        <w:rPr>
          <w:rFonts w:ascii="Tahoma" w:eastAsia="Times New Roman" w:hAnsi="Tahoma" w:cs="Tahoma"/>
          <w:lang w:eastAsia="en-CA"/>
        </w:rPr>
      </w:pPr>
      <w:r w:rsidRPr="00413D5D">
        <w:rPr>
          <w:rFonts w:ascii="Tahoma" w:eastAsia="Times New Roman" w:hAnsi="Tahoma" w:cs="Tahoma"/>
          <w:iCs/>
          <w:sz w:val="20"/>
          <w:szCs w:val="20"/>
          <w:lang w:eastAsia="en-CA"/>
        </w:rPr>
        <w:t>Not applicable.</w:t>
      </w:r>
    </w:p>
    <w:p w:rsidR="00851613" w:rsidRPr="00851613" w:rsidRDefault="00851613" w:rsidP="00851613">
      <w:pPr>
        <w:spacing w:before="100" w:beforeAutospacing="1" w:after="100" w:afterAutospacing="1" w:line="240" w:lineRule="auto"/>
        <w:rPr>
          <w:rFonts w:ascii="Tahoma" w:eastAsia="Times New Roman" w:hAnsi="Tahoma" w:cs="Tahoma"/>
          <w:lang w:eastAsia="en-CA"/>
        </w:rPr>
      </w:pPr>
      <w:bookmarkStart w:id="9" w:name="analysis"/>
      <w:bookmarkEnd w:id="9"/>
      <w:r w:rsidRPr="00851613">
        <w:rPr>
          <w:rFonts w:ascii="Tahoma" w:eastAsia="Times New Roman" w:hAnsi="Tahoma" w:cs="Tahoma"/>
          <w:b/>
          <w:bCs/>
          <w:sz w:val="24"/>
          <w:szCs w:val="24"/>
          <w:lang w:eastAsia="en-CA"/>
        </w:rPr>
        <w:t>Analysis Check List</w:t>
      </w:r>
      <w:r w:rsidRPr="00851613">
        <w:rPr>
          <w:rFonts w:ascii="Tahoma" w:eastAsia="Times New Roman" w:hAnsi="Tahoma" w:cs="Tahoma"/>
          <w:sz w:val="20"/>
          <w:szCs w:val="20"/>
          <w:lang w:eastAsia="en-CA"/>
        </w:rPr>
        <w:t xml:space="preserve"> </w:t>
      </w:r>
    </w:p>
    <w:p w:rsidR="00851613" w:rsidRPr="00851613" w:rsidRDefault="00851613" w:rsidP="00851613">
      <w:pPr>
        <w:spacing w:before="100" w:beforeAutospacing="1" w:after="100" w:afterAutospacing="1" w:line="240" w:lineRule="auto"/>
        <w:rPr>
          <w:rFonts w:ascii="Tahoma" w:eastAsia="Times New Roman" w:hAnsi="Tahoma" w:cs="Tahoma"/>
          <w:lang w:eastAsia="en-CA"/>
        </w:rPr>
      </w:pPr>
      <w:r w:rsidRPr="00851613">
        <w:rPr>
          <w:rFonts w:ascii="Tahoma" w:eastAsia="Times New Roman" w:hAnsi="Tahoma" w:cs="Tahoma"/>
          <w:sz w:val="20"/>
          <w:szCs w:val="20"/>
          <w:lang w:eastAsia="en-CA"/>
        </w:rPr>
        <w:t xml:space="preserve">CCHS   </w:t>
      </w:r>
    </w:p>
    <w:p w:rsidR="00851613" w:rsidRPr="00851613" w:rsidRDefault="00851613" w:rsidP="00851613">
      <w:pPr>
        <w:numPr>
          <w:ilvl w:val="0"/>
          <w:numId w:val="12"/>
        </w:numPr>
        <w:spacing w:before="100" w:beforeAutospacing="1" w:after="100" w:afterAutospacing="1" w:line="240" w:lineRule="auto"/>
        <w:rPr>
          <w:rFonts w:ascii="Tahoma" w:eastAsia="Times New Roman" w:hAnsi="Tahoma" w:cs="Tahoma"/>
          <w:lang w:eastAsia="en-CA"/>
        </w:rPr>
      </w:pPr>
      <w:r w:rsidRPr="00851613">
        <w:rPr>
          <w:rFonts w:ascii="Tahoma" w:eastAsia="Times New Roman" w:hAnsi="Tahoma" w:cs="Tahoma"/>
          <w:sz w:val="20"/>
          <w:szCs w:val="20"/>
          <w:lang w:eastAsia="en-CA"/>
        </w:rPr>
        <w:t xml:space="preserve">It is recommended that public health units use the Share File provided by the Ministry of Health and Long-Term Care rather than public use file (PUMF) provided by Statistics Canada. The Share File has a slightly smaller sample size because respondents must agree to share their information with the province to be included; however, the share file has more variables and fewer grouped categories within variables. The Share File is a cleaner dataset for Ontario analysis because all variables that were not common content, theme content or optional content for Ontario have been removed. </w:t>
      </w:r>
    </w:p>
    <w:p w:rsidR="00851613" w:rsidRPr="00851613" w:rsidRDefault="00851613" w:rsidP="00851613">
      <w:pPr>
        <w:numPr>
          <w:ilvl w:val="0"/>
          <w:numId w:val="12"/>
        </w:numPr>
        <w:spacing w:before="100" w:beforeAutospacing="1" w:after="100" w:afterAutospacing="1" w:line="240" w:lineRule="auto"/>
        <w:rPr>
          <w:rFonts w:ascii="Tahoma" w:eastAsia="Times New Roman" w:hAnsi="Tahoma" w:cs="Tahoma"/>
          <w:lang w:eastAsia="en-CA"/>
        </w:rPr>
      </w:pPr>
      <w:r w:rsidRPr="00851613">
        <w:rPr>
          <w:rFonts w:ascii="Tahoma" w:eastAsia="Times New Roman" w:hAnsi="Tahoma" w:cs="Tahoma"/>
          <w:sz w:val="20"/>
          <w:szCs w:val="20"/>
          <w:lang w:eastAsia="en-CA"/>
        </w:rPr>
        <w:t>There may be slight differences between results from the share file and data published on the Statistics Canada website for the Health Indicators because rates calculated for Health Indicators use the master CCHS data file.</w:t>
      </w:r>
      <w:r w:rsidRPr="00851613">
        <w:rPr>
          <w:rFonts w:ascii="Tahoma" w:eastAsia="Times New Roman" w:hAnsi="Tahoma" w:cs="Tahoma"/>
          <w:lang w:eastAsia="en-CA"/>
        </w:rPr>
        <w:t xml:space="preserve"> </w:t>
      </w:r>
    </w:p>
    <w:p w:rsidR="00851613" w:rsidRPr="00851613" w:rsidRDefault="00851613" w:rsidP="00851613">
      <w:pPr>
        <w:numPr>
          <w:ilvl w:val="0"/>
          <w:numId w:val="12"/>
        </w:numPr>
        <w:spacing w:before="100" w:beforeAutospacing="1" w:after="100" w:afterAutospacing="1" w:line="240" w:lineRule="auto"/>
        <w:rPr>
          <w:rFonts w:ascii="Tahoma" w:eastAsia="Times New Roman" w:hAnsi="Tahoma" w:cs="Tahoma"/>
          <w:lang w:eastAsia="en-CA"/>
        </w:rPr>
      </w:pPr>
      <w:r w:rsidRPr="00851613">
        <w:rPr>
          <w:rFonts w:ascii="Tahoma" w:eastAsia="Times New Roman" w:hAnsi="Tahoma" w:cs="Tahoma"/>
          <w:sz w:val="20"/>
          <w:szCs w:val="20"/>
          <w:lang w:eastAsia="en-CA"/>
        </w:rPr>
        <w:t xml:space="preserve">Not applicable respondents should be excluded; however, it is important to understand who these respondents are from the questionnaire skip patterns to be able to describe the relevant population. </w:t>
      </w:r>
    </w:p>
    <w:p w:rsidR="00851613" w:rsidRPr="00851613" w:rsidRDefault="00851613" w:rsidP="00851613">
      <w:pPr>
        <w:numPr>
          <w:ilvl w:val="0"/>
          <w:numId w:val="12"/>
        </w:numPr>
        <w:spacing w:before="100" w:beforeAutospacing="1" w:after="100" w:afterAutospacing="1" w:line="240" w:lineRule="auto"/>
        <w:rPr>
          <w:rFonts w:ascii="Tahoma" w:eastAsia="Times New Roman" w:hAnsi="Tahoma" w:cs="Tahoma"/>
          <w:lang w:eastAsia="en-CA"/>
        </w:rPr>
      </w:pPr>
      <w:r w:rsidRPr="00851613">
        <w:rPr>
          <w:rFonts w:ascii="Tahoma" w:eastAsia="Times New Roman" w:hAnsi="Tahoma" w:cs="Tahoma"/>
          <w:sz w:val="20"/>
          <w:szCs w:val="20"/>
          <w:lang w:eastAsia="en-CA"/>
        </w:rPr>
        <w:t>Users need to consider whether or not to exclude the ‘Refusal, 'Don't Know' and ‘Not Stated' response categories in the denominator. Rates published in most reports, including Statistics Canada's publication Health Reports generally exclude these response categories. In removing not stated responses from the denominator, the assumption is that the missing values are random, and this is not always the case.</w:t>
      </w:r>
      <w:r w:rsidR="00AF7D9E">
        <w:rPr>
          <w:rFonts w:ascii="Tahoma" w:eastAsia="Times New Roman" w:hAnsi="Tahoma" w:cs="Tahoma"/>
          <w:sz w:val="20"/>
          <w:szCs w:val="20"/>
          <w:lang w:eastAsia="en-CA"/>
        </w:rPr>
        <w:t xml:space="preserve"> </w:t>
      </w:r>
      <w:r w:rsidRPr="00851613">
        <w:rPr>
          <w:rFonts w:ascii="Tahoma" w:eastAsia="Times New Roman" w:hAnsi="Tahoma" w:cs="Tahoma"/>
          <w:sz w:val="20"/>
          <w:szCs w:val="20"/>
          <w:lang w:eastAsia="en-CA"/>
        </w:rPr>
        <w:t xml:space="preserve">This is particularly important when the proportion in these response categories is high. </w:t>
      </w:r>
    </w:p>
    <w:p w:rsidR="00851613" w:rsidRPr="00851613" w:rsidRDefault="00851613" w:rsidP="00851613">
      <w:pPr>
        <w:numPr>
          <w:ilvl w:val="0"/>
          <w:numId w:val="12"/>
        </w:numPr>
        <w:spacing w:before="100" w:beforeAutospacing="1" w:after="100" w:afterAutospacing="1" w:line="240" w:lineRule="auto"/>
        <w:rPr>
          <w:rFonts w:ascii="Tahoma" w:eastAsia="Times New Roman" w:hAnsi="Tahoma" w:cs="Tahoma"/>
          <w:lang w:eastAsia="en-CA"/>
        </w:rPr>
      </w:pPr>
      <w:r w:rsidRPr="00851613">
        <w:rPr>
          <w:rFonts w:ascii="Tahoma" w:eastAsia="Times New Roman" w:hAnsi="Tahoma" w:cs="Tahoma"/>
          <w:sz w:val="20"/>
          <w:szCs w:val="20"/>
          <w:lang w:eastAsia="en-CA"/>
        </w:rPr>
        <w:t xml:space="preserve">Estimates must be appropriately weighted (generally the share weight for the CCHS) and rounded. </w:t>
      </w:r>
    </w:p>
    <w:p w:rsidR="00851613" w:rsidRPr="00851613" w:rsidRDefault="00851613" w:rsidP="00851613">
      <w:pPr>
        <w:numPr>
          <w:ilvl w:val="0"/>
          <w:numId w:val="12"/>
        </w:numPr>
        <w:spacing w:before="100" w:beforeAutospacing="1" w:after="100" w:afterAutospacing="1" w:line="240" w:lineRule="auto"/>
        <w:rPr>
          <w:rFonts w:ascii="Tahoma" w:eastAsia="Times New Roman" w:hAnsi="Tahoma" w:cs="Tahoma"/>
          <w:lang w:eastAsia="en-CA"/>
        </w:rPr>
      </w:pPr>
      <w:r w:rsidRPr="00851613">
        <w:rPr>
          <w:rFonts w:ascii="Tahoma" w:eastAsia="Times New Roman" w:hAnsi="Tahoma" w:cs="Tahoma"/>
          <w:sz w:val="20"/>
          <w:szCs w:val="20"/>
          <w:lang w:eastAsia="en-CA"/>
        </w:rPr>
        <w:t xml:space="preserve">Users of the CCHS Ontario Share File must adhere to Statistics Canada's release guidelines for the CCHS data when publishing or releasing data derived from the file in any form. Refer to the appropriate user guide for guidelines for tabulation, analysis and release of data from the CCHS. In general, when calculating the CV from the share file using the bootstrap weights, users should not use or release weighted estimates when the </w:t>
      </w:r>
      <w:proofErr w:type="spellStart"/>
      <w:r w:rsidRPr="00851613">
        <w:rPr>
          <w:rFonts w:ascii="Tahoma" w:eastAsia="Times New Roman" w:hAnsi="Tahoma" w:cs="Tahoma"/>
          <w:sz w:val="20"/>
          <w:szCs w:val="20"/>
          <w:lang w:eastAsia="en-CA"/>
        </w:rPr>
        <w:t>unweighted</w:t>
      </w:r>
      <w:proofErr w:type="spellEnd"/>
      <w:r w:rsidRPr="00851613">
        <w:rPr>
          <w:rFonts w:ascii="Tahoma" w:eastAsia="Times New Roman" w:hAnsi="Tahoma" w:cs="Tahoma"/>
          <w:sz w:val="20"/>
          <w:szCs w:val="20"/>
          <w:lang w:eastAsia="en-CA"/>
        </w:rPr>
        <w:t xml:space="preserve"> cell count is below 10. For ratios or proportions, this rule should be applied to the numerator of the ratio.  Statistics Canada uses this approach for the tabular data on their website. When using only the Approximate Sampling Variability (CV) lookup tables for the share file, data may not be released when the </w:t>
      </w:r>
      <w:proofErr w:type="spellStart"/>
      <w:r w:rsidRPr="00851613">
        <w:rPr>
          <w:rFonts w:ascii="Tahoma" w:eastAsia="Times New Roman" w:hAnsi="Tahoma" w:cs="Tahoma"/>
          <w:sz w:val="20"/>
          <w:szCs w:val="20"/>
          <w:lang w:eastAsia="en-CA"/>
        </w:rPr>
        <w:t>unweighted</w:t>
      </w:r>
      <w:proofErr w:type="spellEnd"/>
      <w:r w:rsidRPr="00851613">
        <w:rPr>
          <w:rFonts w:ascii="Tahoma" w:eastAsia="Times New Roman" w:hAnsi="Tahoma" w:cs="Tahoma"/>
          <w:sz w:val="20"/>
          <w:szCs w:val="20"/>
          <w:lang w:eastAsia="en-CA"/>
        </w:rPr>
        <w:t xml:space="preserve"> cell count is below 30. This rule should be applied to the numerator for ratios or proportions.  This provides a margin of safety in terms of data quality, given the CV being utilized is only approximate.</w:t>
      </w:r>
      <w:r w:rsidRPr="00851613">
        <w:rPr>
          <w:rFonts w:ascii="Tahoma" w:eastAsia="Times New Roman" w:hAnsi="Tahoma" w:cs="Tahoma"/>
          <w:lang w:eastAsia="en-CA"/>
        </w:rPr>
        <w:t xml:space="preserve"> </w:t>
      </w:r>
    </w:p>
    <w:p w:rsidR="00851613" w:rsidRPr="00851613" w:rsidRDefault="00851613" w:rsidP="00851613">
      <w:pPr>
        <w:numPr>
          <w:ilvl w:val="0"/>
          <w:numId w:val="12"/>
        </w:numPr>
        <w:spacing w:before="100" w:beforeAutospacing="1" w:after="100" w:afterAutospacing="1" w:line="240" w:lineRule="auto"/>
        <w:rPr>
          <w:rFonts w:ascii="Tahoma" w:eastAsia="Times New Roman" w:hAnsi="Tahoma" w:cs="Tahoma"/>
          <w:lang w:eastAsia="en-CA"/>
        </w:rPr>
      </w:pPr>
      <w:r w:rsidRPr="00851613">
        <w:rPr>
          <w:rFonts w:ascii="Tahoma" w:eastAsia="Times New Roman" w:hAnsi="Tahoma" w:cs="Tahoma"/>
          <w:sz w:val="20"/>
          <w:szCs w:val="20"/>
          <w:lang w:eastAsia="en-CA"/>
        </w:rPr>
        <w:t xml:space="preserve">Before releasing and/or publishing data, users should determine the CV of the rounded weighted estimate and follow the guidelines below: </w:t>
      </w:r>
    </w:p>
    <w:p w:rsidR="00851613" w:rsidRPr="00851613" w:rsidRDefault="00851613" w:rsidP="00851613">
      <w:pPr>
        <w:numPr>
          <w:ilvl w:val="1"/>
          <w:numId w:val="12"/>
        </w:numPr>
        <w:spacing w:before="100" w:beforeAutospacing="1" w:after="100" w:afterAutospacing="1" w:line="240" w:lineRule="auto"/>
        <w:rPr>
          <w:rFonts w:ascii="Tahoma" w:eastAsia="Times New Roman" w:hAnsi="Tahoma" w:cs="Tahoma"/>
          <w:lang w:eastAsia="en-CA"/>
        </w:rPr>
      </w:pPr>
      <w:r w:rsidRPr="00851613">
        <w:rPr>
          <w:rFonts w:ascii="Tahoma" w:eastAsia="Times New Roman" w:hAnsi="Tahoma" w:cs="Tahoma"/>
          <w:b/>
          <w:bCs/>
          <w:sz w:val="20"/>
          <w:lang w:eastAsia="en-CA"/>
        </w:rPr>
        <w:t>Acceptable (CV of 0.0 - 16.5%)</w:t>
      </w:r>
      <w:r w:rsidRPr="00851613">
        <w:rPr>
          <w:rFonts w:ascii="Tahoma" w:eastAsia="Times New Roman" w:hAnsi="Tahoma" w:cs="Tahoma"/>
          <w:sz w:val="20"/>
          <w:szCs w:val="20"/>
          <w:lang w:eastAsia="en-CA"/>
        </w:rPr>
        <w:t xml:space="preserve"> Estimates can be considered for general unrestricted release. Requires no special notation. </w:t>
      </w:r>
    </w:p>
    <w:p w:rsidR="00851613" w:rsidRPr="00851613" w:rsidRDefault="00851613" w:rsidP="00851613">
      <w:pPr>
        <w:numPr>
          <w:ilvl w:val="1"/>
          <w:numId w:val="12"/>
        </w:numPr>
        <w:spacing w:before="100" w:beforeAutospacing="1" w:after="100" w:afterAutospacing="1" w:line="240" w:lineRule="auto"/>
        <w:rPr>
          <w:rFonts w:ascii="Tahoma" w:eastAsia="Times New Roman" w:hAnsi="Tahoma" w:cs="Tahoma"/>
          <w:lang w:eastAsia="en-CA"/>
        </w:rPr>
      </w:pPr>
      <w:r w:rsidRPr="00851613">
        <w:rPr>
          <w:rFonts w:ascii="Tahoma" w:eastAsia="Times New Roman" w:hAnsi="Tahoma" w:cs="Tahoma"/>
          <w:b/>
          <w:bCs/>
          <w:sz w:val="20"/>
          <w:lang w:eastAsia="en-CA"/>
        </w:rPr>
        <w:t>Marginal (CV of 16.6 - 33.3%)</w:t>
      </w:r>
      <w:r w:rsidRPr="00851613">
        <w:rPr>
          <w:rFonts w:ascii="Tahoma" w:eastAsia="Times New Roman" w:hAnsi="Tahoma" w:cs="Tahoma"/>
          <w:sz w:val="20"/>
          <w:szCs w:val="20"/>
          <w:lang w:eastAsia="en-CA"/>
        </w:rPr>
        <w:t xml:space="preserve"> Estimates can be considered for general unrestricted release but should be accompanied by a warning cautioning subsequent users of the </w:t>
      </w:r>
      <w:r w:rsidRPr="00851613">
        <w:rPr>
          <w:rFonts w:ascii="Tahoma" w:eastAsia="Times New Roman" w:hAnsi="Tahoma" w:cs="Tahoma"/>
          <w:sz w:val="20"/>
          <w:szCs w:val="20"/>
          <w:lang w:eastAsia="en-CA"/>
        </w:rPr>
        <w:lastRenderedPageBreak/>
        <w:t xml:space="preserve">high sampling variability associated with the estimates. Such estimates should be identified by the letter E (or in some other similar fashion). </w:t>
      </w:r>
    </w:p>
    <w:p w:rsidR="00851613" w:rsidRPr="00851613" w:rsidRDefault="00851613" w:rsidP="00851613">
      <w:pPr>
        <w:numPr>
          <w:ilvl w:val="1"/>
          <w:numId w:val="12"/>
        </w:numPr>
        <w:spacing w:before="100" w:beforeAutospacing="1" w:after="100" w:afterAutospacing="1" w:line="240" w:lineRule="auto"/>
        <w:rPr>
          <w:rFonts w:ascii="Tahoma" w:eastAsia="Times New Roman" w:hAnsi="Tahoma" w:cs="Tahoma"/>
          <w:lang w:eastAsia="en-CA"/>
        </w:rPr>
      </w:pPr>
      <w:r w:rsidRPr="00851613">
        <w:rPr>
          <w:rFonts w:ascii="Tahoma" w:eastAsia="Times New Roman" w:hAnsi="Tahoma" w:cs="Tahoma"/>
          <w:b/>
          <w:bCs/>
          <w:sz w:val="20"/>
          <w:lang w:eastAsia="en-CA"/>
        </w:rPr>
        <w:t>Unacceptable (CV greater than 33.3%)</w:t>
      </w:r>
      <w:r w:rsidRPr="00851613">
        <w:rPr>
          <w:rFonts w:ascii="Tahoma" w:eastAsia="Times New Roman" w:hAnsi="Tahoma" w:cs="Tahoma"/>
          <w:sz w:val="20"/>
          <w:szCs w:val="20"/>
          <w:lang w:eastAsia="en-CA"/>
        </w:rPr>
        <w:t xml:space="preserve"> Statistics Canada recommends not to release estimates of unacceptable quality. However, if the user chooses to do so then estimates should be flagged with the letter F (or in some other fashion) and the following warning should accompany the estimates: "The user is advised that</w:t>
      </w:r>
      <w:proofErr w:type="gramStart"/>
      <w:r w:rsidRPr="00851613">
        <w:rPr>
          <w:rFonts w:ascii="Tahoma" w:eastAsia="Times New Roman" w:hAnsi="Tahoma" w:cs="Tahoma"/>
          <w:sz w:val="20"/>
          <w:szCs w:val="20"/>
          <w:lang w:eastAsia="en-CA"/>
        </w:rPr>
        <w:t>...(</w:t>
      </w:r>
      <w:proofErr w:type="gramEnd"/>
      <w:r w:rsidRPr="00851613">
        <w:rPr>
          <w:rFonts w:ascii="Tahoma" w:eastAsia="Times New Roman" w:hAnsi="Tahoma" w:cs="Tahoma"/>
          <w:sz w:val="20"/>
          <w:szCs w:val="20"/>
          <w:lang w:eastAsia="en-CA"/>
        </w:rPr>
        <w:t>specify the data)...do not meet Statistics Canada's quality standards for this statistical program. Conclusions based on these data will be unreliable and most likely invalid". These data and any consequent findings should not be published. If the user chooses to publish these data or findings, then this disclaimer must be published with the data.</w:t>
      </w:r>
    </w:p>
    <w:p w:rsidR="00851613" w:rsidRPr="00AF7D9E" w:rsidRDefault="00851613" w:rsidP="00AF7D9E">
      <w:pPr>
        <w:numPr>
          <w:ilvl w:val="0"/>
          <w:numId w:val="12"/>
        </w:numPr>
        <w:spacing w:before="100" w:beforeAutospacing="1" w:after="100" w:afterAutospacing="1" w:line="240" w:lineRule="auto"/>
        <w:rPr>
          <w:rFonts w:ascii="Tahoma" w:eastAsia="Times New Roman" w:hAnsi="Tahoma" w:cs="Tahoma"/>
          <w:lang w:eastAsia="en-CA"/>
        </w:rPr>
      </w:pPr>
      <w:r w:rsidRPr="00851613">
        <w:rPr>
          <w:rFonts w:ascii="Tahoma" w:eastAsia="Times New Roman" w:hAnsi="Tahoma" w:cs="Tahoma"/>
          <w:sz w:val="20"/>
          <w:szCs w:val="20"/>
          <w:lang w:eastAsia="en-CA"/>
        </w:rPr>
        <w:t xml:space="preserve">Caution should be taken when comparing the results from Cycle 1.1 (2000/01) to subsequent years of the survey, due to a change in the mode of data collection.  The sample in Cycle 1.1 had a higher proportion of respondents interviewed in person, which affected the comparability of some key health indicators.  Please refer to </w:t>
      </w:r>
      <w:hyperlink r:id="rId28" w:tgtFrame="_blank" w:history="1">
        <w:r w:rsidRPr="00851613">
          <w:rPr>
            <w:rFonts w:ascii="Arial" w:eastAsia="Times New Roman" w:hAnsi="Arial" w:cs="Arial"/>
            <w:b/>
            <w:bCs/>
            <w:color w:val="0099CC"/>
            <w:sz w:val="20"/>
            <w:lang w:eastAsia="en-CA"/>
          </w:rPr>
          <w:t>http://www.statcan.gc.ca/imdb-bmdi/document/3226_D16_T9_V1-eng.pdf</w:t>
        </w:r>
      </w:hyperlink>
      <w:r w:rsidR="00F60798">
        <w:t xml:space="preserve"> </w:t>
      </w:r>
      <w:r w:rsidRPr="00851613">
        <w:rPr>
          <w:rFonts w:ascii="Tahoma" w:eastAsia="Times New Roman" w:hAnsi="Tahoma" w:cs="Tahoma"/>
          <w:sz w:val="20"/>
          <w:szCs w:val="20"/>
          <w:lang w:eastAsia="en-CA"/>
        </w:rPr>
        <w:t>for a full text copy of the Statistics Canada article entitled "Mode effects in the Canadian Community Health Survey: a Comparison of CAPI and CATI"</w:t>
      </w:r>
      <w:r w:rsidRPr="00AF7D9E">
        <w:rPr>
          <w:rFonts w:ascii="Tahoma" w:eastAsia="Times New Roman" w:hAnsi="Tahoma" w:cs="Tahoma"/>
          <w:sz w:val="20"/>
          <w:szCs w:val="20"/>
          <w:lang w:eastAsia="en-CA"/>
        </w:rPr>
        <w:t> </w:t>
      </w:r>
    </w:p>
    <w:p w:rsidR="00851613" w:rsidRPr="00851613" w:rsidRDefault="00851613" w:rsidP="00851613">
      <w:pPr>
        <w:spacing w:before="100" w:beforeAutospacing="1" w:after="100" w:afterAutospacing="1" w:line="240" w:lineRule="auto"/>
        <w:rPr>
          <w:rFonts w:ascii="Tahoma" w:eastAsia="Times New Roman" w:hAnsi="Tahoma" w:cs="Tahoma"/>
          <w:lang w:eastAsia="en-CA"/>
        </w:rPr>
      </w:pPr>
      <w:bookmarkStart w:id="10" w:name="calculation"/>
      <w:bookmarkEnd w:id="10"/>
      <w:r w:rsidRPr="00851613">
        <w:rPr>
          <w:rFonts w:ascii="Tahoma" w:eastAsia="Times New Roman" w:hAnsi="Tahoma" w:cs="Tahoma"/>
          <w:b/>
          <w:bCs/>
          <w:sz w:val="24"/>
          <w:szCs w:val="24"/>
          <w:lang w:eastAsia="en-CA"/>
        </w:rPr>
        <w:t>Method of Calculation</w:t>
      </w:r>
      <w:r w:rsidRPr="00851613">
        <w:rPr>
          <w:rFonts w:ascii="Tahoma" w:eastAsia="Times New Roman" w:hAnsi="Tahoma" w:cs="Tahoma"/>
          <w:sz w:val="20"/>
          <w:szCs w:val="20"/>
          <w:lang w:eastAsia="en-CA"/>
        </w:rPr>
        <w:t xml:space="preserve"> </w:t>
      </w:r>
    </w:p>
    <w:p w:rsidR="00851613" w:rsidRPr="00851613" w:rsidRDefault="00A42C1F" w:rsidP="00851613">
      <w:pPr>
        <w:spacing w:before="100" w:beforeAutospacing="1" w:after="100" w:afterAutospacing="1" w:line="240" w:lineRule="auto"/>
        <w:rPr>
          <w:rFonts w:ascii="Tahoma" w:eastAsia="Times New Roman" w:hAnsi="Tahoma" w:cs="Tahoma"/>
          <w:lang w:eastAsia="en-CA"/>
        </w:rPr>
      </w:pPr>
      <w:r>
        <w:rPr>
          <w:rFonts w:ascii="Tahoma" w:eastAsia="Times New Roman" w:hAnsi="Tahoma" w:cs="Tahoma"/>
          <w:sz w:val="20"/>
          <w:szCs w:val="20"/>
          <w:lang w:eastAsia="en-CA"/>
        </w:rPr>
        <w:t>Percent who rate their sense of community belonging as somewhat strong or very strong</w:t>
      </w:r>
      <w:r w:rsidR="00851613" w:rsidRPr="00851613">
        <w:rPr>
          <w:rFonts w:ascii="Tahoma" w:eastAsia="Times New Roman" w:hAnsi="Tahoma" w:cs="Tahoma"/>
          <w:sz w:val="20"/>
          <w:szCs w:val="20"/>
          <w:lang w:eastAsia="en-CA"/>
        </w:rPr>
        <w:t xml:space="preserve">: </w:t>
      </w:r>
    </w:p>
    <w:tbl>
      <w:tblPr>
        <w:tblW w:w="0" w:type="auto"/>
        <w:tblCellSpacing w:w="0" w:type="dxa"/>
        <w:tblCellMar>
          <w:left w:w="0" w:type="dxa"/>
          <w:right w:w="0" w:type="dxa"/>
        </w:tblCellMar>
        <w:tblLook w:val="04A0"/>
      </w:tblPr>
      <w:tblGrid>
        <w:gridCol w:w="5812"/>
        <w:gridCol w:w="1260"/>
      </w:tblGrid>
      <w:tr w:rsidR="00851613" w:rsidRPr="00851613" w:rsidTr="00A42C1F">
        <w:trPr>
          <w:tblCellSpacing w:w="0" w:type="dxa"/>
        </w:trPr>
        <w:tc>
          <w:tcPr>
            <w:tcW w:w="5812" w:type="dxa"/>
            <w:tcBorders>
              <w:bottom w:val="single" w:sz="4" w:space="0" w:color="auto"/>
            </w:tcBorders>
            <w:hideMark/>
          </w:tcPr>
          <w:p w:rsidR="00851613" w:rsidRPr="00A42C1F" w:rsidRDefault="00851613" w:rsidP="00A42C1F">
            <w:pPr>
              <w:spacing w:before="100" w:beforeAutospacing="1" w:after="100" w:afterAutospacing="1" w:line="240" w:lineRule="auto"/>
              <w:rPr>
                <w:rFonts w:ascii="Arial" w:eastAsia="Times New Roman" w:hAnsi="Arial" w:cs="Arial"/>
                <w:sz w:val="20"/>
                <w:szCs w:val="20"/>
                <w:lang w:eastAsia="en-CA"/>
              </w:rPr>
            </w:pPr>
            <w:r w:rsidRPr="00A42C1F">
              <w:rPr>
                <w:rFonts w:ascii="Tahoma" w:eastAsia="Times New Roman" w:hAnsi="Tahoma" w:cs="Tahoma"/>
                <w:sz w:val="20"/>
                <w:szCs w:val="20"/>
                <w:lang w:eastAsia="en-CA"/>
              </w:rPr>
              <w:t xml:space="preserve">Total number of </w:t>
            </w:r>
            <w:r w:rsidR="00A42C1F" w:rsidRPr="00A42C1F">
              <w:rPr>
                <w:rFonts w:ascii="Tahoma" w:eastAsia="Times New Roman" w:hAnsi="Tahoma" w:cs="Tahoma"/>
                <w:sz w:val="20"/>
                <w:szCs w:val="20"/>
                <w:lang w:eastAsia="en-CA"/>
              </w:rPr>
              <w:t>persons aged 12 and over who rate their sense of community belonging as somewhat strong or very strong</w:t>
            </w:r>
          </w:p>
        </w:tc>
        <w:tc>
          <w:tcPr>
            <w:tcW w:w="1260" w:type="dxa"/>
            <w:vMerge w:val="restart"/>
            <w:vAlign w:val="center"/>
            <w:hideMark/>
          </w:tcPr>
          <w:p w:rsidR="00851613" w:rsidRPr="00851613" w:rsidRDefault="00851613" w:rsidP="00F60798">
            <w:pPr>
              <w:spacing w:before="100" w:beforeAutospacing="1" w:after="100" w:afterAutospacing="1" w:line="240" w:lineRule="auto"/>
              <w:jc w:val="center"/>
              <w:rPr>
                <w:rFonts w:ascii="Arial" w:eastAsia="Times New Roman" w:hAnsi="Arial" w:cs="Arial"/>
                <w:sz w:val="20"/>
                <w:szCs w:val="20"/>
                <w:lang w:eastAsia="en-CA"/>
              </w:rPr>
            </w:pPr>
            <w:r w:rsidRPr="00851613">
              <w:rPr>
                <w:rFonts w:ascii="Tahoma" w:eastAsia="Times New Roman" w:hAnsi="Tahoma" w:cs="Tahoma"/>
                <w:sz w:val="20"/>
                <w:szCs w:val="20"/>
                <w:lang w:eastAsia="en-CA"/>
              </w:rPr>
              <w:t>*  100</w:t>
            </w:r>
          </w:p>
        </w:tc>
      </w:tr>
      <w:tr w:rsidR="00851613" w:rsidRPr="00851613" w:rsidTr="00A42C1F">
        <w:trPr>
          <w:tblCellSpacing w:w="0" w:type="dxa"/>
        </w:trPr>
        <w:tc>
          <w:tcPr>
            <w:tcW w:w="5812" w:type="dxa"/>
            <w:tcBorders>
              <w:top w:val="single" w:sz="4" w:space="0" w:color="auto"/>
            </w:tcBorders>
            <w:hideMark/>
          </w:tcPr>
          <w:p w:rsidR="00851613" w:rsidRPr="00851613" w:rsidRDefault="00A42C1F" w:rsidP="00851613">
            <w:pPr>
              <w:spacing w:before="100" w:beforeAutospacing="1" w:after="100" w:afterAutospacing="1" w:line="240" w:lineRule="auto"/>
              <w:rPr>
                <w:rFonts w:ascii="Arial" w:eastAsia="Times New Roman" w:hAnsi="Arial" w:cs="Arial"/>
                <w:sz w:val="20"/>
                <w:szCs w:val="20"/>
                <w:lang w:eastAsia="en-CA"/>
              </w:rPr>
            </w:pPr>
            <w:r>
              <w:rPr>
                <w:rFonts w:ascii="Tahoma" w:eastAsia="Times New Roman" w:hAnsi="Tahoma" w:cs="Tahoma"/>
                <w:sz w:val="20"/>
                <w:szCs w:val="20"/>
                <w:lang w:eastAsia="en-CA"/>
              </w:rPr>
              <w:t>Total population aged 12 and over</w:t>
            </w:r>
          </w:p>
        </w:tc>
        <w:tc>
          <w:tcPr>
            <w:tcW w:w="0" w:type="auto"/>
            <w:vMerge/>
            <w:vAlign w:val="center"/>
            <w:hideMark/>
          </w:tcPr>
          <w:p w:rsidR="00851613" w:rsidRPr="00851613" w:rsidRDefault="00851613" w:rsidP="00851613">
            <w:pPr>
              <w:spacing w:after="0" w:line="240" w:lineRule="auto"/>
              <w:rPr>
                <w:rFonts w:ascii="Arial" w:eastAsia="Times New Roman" w:hAnsi="Arial" w:cs="Arial"/>
                <w:sz w:val="20"/>
                <w:szCs w:val="20"/>
                <w:lang w:eastAsia="en-CA"/>
              </w:rPr>
            </w:pPr>
          </w:p>
        </w:tc>
      </w:tr>
    </w:tbl>
    <w:p w:rsidR="00851613" w:rsidRPr="00851613" w:rsidRDefault="00851613" w:rsidP="00851613">
      <w:pPr>
        <w:spacing w:before="100" w:beforeAutospacing="1" w:after="100" w:afterAutospacing="1" w:line="240" w:lineRule="auto"/>
        <w:rPr>
          <w:rFonts w:ascii="Tahoma" w:eastAsia="Times New Roman" w:hAnsi="Tahoma" w:cs="Tahoma"/>
          <w:lang w:eastAsia="en-CA"/>
        </w:rPr>
      </w:pPr>
      <w:bookmarkStart w:id="11" w:name="Basic_Categories"/>
      <w:bookmarkEnd w:id="11"/>
      <w:r w:rsidRPr="00851613">
        <w:rPr>
          <w:rFonts w:ascii="Tahoma" w:eastAsia="Times New Roman" w:hAnsi="Tahoma" w:cs="Tahoma"/>
          <w:b/>
          <w:bCs/>
          <w:sz w:val="24"/>
          <w:szCs w:val="24"/>
          <w:lang w:eastAsia="en-CA"/>
        </w:rPr>
        <w:t>Basic Categories</w:t>
      </w:r>
      <w:r w:rsidRPr="00851613">
        <w:rPr>
          <w:rFonts w:ascii="Tahoma" w:eastAsia="Times New Roman" w:hAnsi="Tahoma" w:cs="Tahoma"/>
          <w:sz w:val="20"/>
          <w:szCs w:val="20"/>
          <w:lang w:eastAsia="en-CA"/>
        </w:rPr>
        <w:t xml:space="preserve"> </w:t>
      </w:r>
    </w:p>
    <w:p w:rsidR="00A42C1F" w:rsidRPr="00A42C1F" w:rsidRDefault="00A42C1F" w:rsidP="00851613">
      <w:pPr>
        <w:numPr>
          <w:ilvl w:val="0"/>
          <w:numId w:val="13"/>
        </w:numPr>
        <w:spacing w:before="100" w:beforeAutospacing="1" w:after="100" w:afterAutospacing="1" w:line="240" w:lineRule="auto"/>
        <w:rPr>
          <w:rFonts w:ascii="Tahoma" w:eastAsia="Times New Roman" w:hAnsi="Tahoma" w:cs="Tahoma"/>
          <w:lang w:eastAsia="en-CA"/>
        </w:rPr>
      </w:pPr>
      <w:r>
        <w:rPr>
          <w:rFonts w:ascii="Tahoma" w:eastAsia="Times New Roman" w:hAnsi="Tahoma" w:cs="Tahoma"/>
          <w:sz w:val="20"/>
          <w:szCs w:val="20"/>
          <w:lang w:eastAsia="en-CA"/>
        </w:rPr>
        <w:t>Sex: male, female and total.</w:t>
      </w:r>
    </w:p>
    <w:p w:rsidR="00851613" w:rsidRPr="00851613" w:rsidRDefault="00851613" w:rsidP="00A42C1F">
      <w:pPr>
        <w:numPr>
          <w:ilvl w:val="0"/>
          <w:numId w:val="13"/>
        </w:numPr>
        <w:spacing w:before="100" w:beforeAutospacing="1" w:after="100" w:afterAutospacing="1" w:line="240" w:lineRule="auto"/>
        <w:rPr>
          <w:rFonts w:ascii="Tahoma" w:eastAsia="Times New Roman" w:hAnsi="Tahoma" w:cs="Tahoma"/>
          <w:sz w:val="20"/>
          <w:szCs w:val="20"/>
          <w:lang w:eastAsia="en-CA"/>
        </w:rPr>
      </w:pPr>
      <w:r w:rsidRPr="00A42C1F">
        <w:rPr>
          <w:rFonts w:ascii="Tahoma" w:eastAsia="Times New Roman" w:hAnsi="Tahoma" w:cs="Tahoma"/>
          <w:sz w:val="20"/>
          <w:szCs w:val="20"/>
          <w:lang w:eastAsia="en-CA"/>
        </w:rPr>
        <w:t>Age groups</w:t>
      </w:r>
      <w:r w:rsidR="00A42C1F">
        <w:rPr>
          <w:rFonts w:ascii="Tahoma" w:eastAsia="Times New Roman" w:hAnsi="Tahoma" w:cs="Tahoma"/>
          <w:sz w:val="20"/>
          <w:szCs w:val="20"/>
          <w:lang w:eastAsia="en-CA"/>
        </w:rPr>
        <w:t>:</w:t>
      </w:r>
      <w:r w:rsidRPr="00A42C1F">
        <w:rPr>
          <w:rFonts w:ascii="Tahoma" w:eastAsia="Times New Roman" w:hAnsi="Tahoma" w:cs="Tahoma"/>
          <w:sz w:val="20"/>
          <w:szCs w:val="20"/>
          <w:lang w:eastAsia="en-CA"/>
        </w:rPr>
        <w:t xml:space="preserve"> </w:t>
      </w:r>
    </w:p>
    <w:p w:rsidR="00851613" w:rsidRPr="00851613" w:rsidRDefault="00851613" w:rsidP="00851613">
      <w:pPr>
        <w:numPr>
          <w:ilvl w:val="1"/>
          <w:numId w:val="13"/>
        </w:numPr>
        <w:spacing w:before="100" w:beforeAutospacing="1" w:after="100" w:afterAutospacing="1" w:line="240" w:lineRule="auto"/>
        <w:rPr>
          <w:rFonts w:ascii="Tahoma" w:eastAsia="Times New Roman" w:hAnsi="Tahoma" w:cs="Tahoma"/>
          <w:lang w:eastAsia="en-CA"/>
        </w:rPr>
      </w:pPr>
      <w:r w:rsidRPr="00851613">
        <w:rPr>
          <w:rFonts w:ascii="Tahoma" w:eastAsia="Times New Roman" w:hAnsi="Tahoma" w:cs="Tahoma"/>
          <w:b/>
          <w:bCs/>
          <w:sz w:val="20"/>
          <w:lang w:eastAsia="en-CA"/>
        </w:rPr>
        <w:t>Canadian Community Health Survey Data:</w:t>
      </w:r>
      <w:r w:rsidRPr="00851613">
        <w:rPr>
          <w:rFonts w:ascii="Tahoma" w:eastAsia="Times New Roman" w:hAnsi="Tahoma" w:cs="Tahoma"/>
          <w:lang w:eastAsia="en-CA"/>
        </w:rPr>
        <w:t xml:space="preserve"> </w:t>
      </w:r>
    </w:p>
    <w:p w:rsidR="00851613" w:rsidRPr="00851613" w:rsidRDefault="00851613" w:rsidP="00851613">
      <w:pPr>
        <w:numPr>
          <w:ilvl w:val="2"/>
          <w:numId w:val="13"/>
        </w:numPr>
        <w:spacing w:before="100" w:beforeAutospacing="1" w:after="100" w:afterAutospacing="1" w:line="240" w:lineRule="auto"/>
        <w:rPr>
          <w:rFonts w:ascii="Tahoma" w:eastAsia="Times New Roman" w:hAnsi="Tahoma" w:cs="Tahoma"/>
          <w:lang w:eastAsia="en-CA"/>
        </w:rPr>
      </w:pPr>
      <w:r w:rsidRPr="00851613">
        <w:rPr>
          <w:rFonts w:ascii="Tahoma" w:eastAsia="Times New Roman" w:hAnsi="Tahoma" w:cs="Tahoma"/>
          <w:sz w:val="20"/>
          <w:szCs w:val="20"/>
          <w:lang w:eastAsia="en-CA"/>
        </w:rPr>
        <w:t xml:space="preserve">12-19, 20-44, 45-64, 65+ [It may be necessary to aggregate data based on age groups to produce stable rates. (Refer to Document: </w:t>
      </w:r>
      <w:hyperlink r:id="rId29" w:tgtFrame="_blank" w:history="1">
        <w:r w:rsidRPr="00851613">
          <w:rPr>
            <w:rFonts w:ascii="Arial" w:eastAsia="Times New Roman" w:hAnsi="Arial" w:cs="Arial"/>
            <w:b/>
            <w:bCs/>
            <w:color w:val="0099CC"/>
            <w:sz w:val="20"/>
            <w:lang w:eastAsia="en-CA"/>
          </w:rPr>
          <w:t>Methods for Calculating Moving Averages</w:t>
        </w:r>
      </w:hyperlink>
      <w:r w:rsidRPr="00851613">
        <w:rPr>
          <w:rFonts w:ascii="Tahoma" w:eastAsia="Times New Roman" w:hAnsi="Tahoma" w:cs="Tahoma"/>
          <w:sz w:val="20"/>
          <w:szCs w:val="20"/>
          <w:lang w:eastAsia="en-CA"/>
        </w:rPr>
        <w:t>)].</w:t>
      </w:r>
    </w:p>
    <w:p w:rsidR="00851613" w:rsidRPr="00851613" w:rsidRDefault="00851613" w:rsidP="00851613">
      <w:pPr>
        <w:numPr>
          <w:ilvl w:val="0"/>
          <w:numId w:val="13"/>
        </w:numPr>
        <w:spacing w:before="100" w:beforeAutospacing="1" w:after="100" w:afterAutospacing="1" w:line="240" w:lineRule="auto"/>
        <w:rPr>
          <w:rFonts w:ascii="Tahoma" w:eastAsia="Times New Roman" w:hAnsi="Tahoma" w:cs="Tahoma"/>
          <w:lang w:eastAsia="en-CA"/>
        </w:rPr>
      </w:pPr>
      <w:r w:rsidRPr="00851613">
        <w:rPr>
          <w:rFonts w:ascii="Tahoma" w:eastAsia="Times New Roman" w:hAnsi="Tahoma" w:cs="Tahoma"/>
          <w:sz w:val="20"/>
          <w:szCs w:val="20"/>
          <w:lang w:eastAsia="en-CA"/>
        </w:rPr>
        <w:t xml:space="preserve">Geographic areas of patient residence: </w:t>
      </w:r>
    </w:p>
    <w:p w:rsidR="00851613" w:rsidRPr="00851613" w:rsidRDefault="00851613" w:rsidP="00851613">
      <w:pPr>
        <w:numPr>
          <w:ilvl w:val="1"/>
          <w:numId w:val="13"/>
        </w:numPr>
        <w:spacing w:before="100" w:beforeAutospacing="1" w:after="100" w:afterAutospacing="1" w:line="240" w:lineRule="auto"/>
        <w:rPr>
          <w:rFonts w:ascii="Tahoma" w:eastAsia="Times New Roman" w:hAnsi="Tahoma" w:cs="Tahoma"/>
          <w:lang w:eastAsia="en-CA"/>
        </w:rPr>
      </w:pPr>
      <w:r w:rsidRPr="00851613">
        <w:rPr>
          <w:rFonts w:ascii="Tahoma" w:eastAsia="Times New Roman" w:hAnsi="Tahoma" w:cs="Tahoma"/>
          <w:sz w:val="20"/>
          <w:szCs w:val="20"/>
          <w:lang w:eastAsia="en-CA"/>
        </w:rPr>
        <w:t>Ontario, public health unit</w:t>
      </w:r>
      <w:r w:rsidRPr="00851613">
        <w:rPr>
          <w:rFonts w:ascii="Tahoma" w:eastAsia="Times New Roman" w:hAnsi="Tahoma" w:cs="Tahoma"/>
          <w:lang w:eastAsia="en-CA"/>
        </w:rPr>
        <w:t xml:space="preserve"> </w:t>
      </w:r>
    </w:p>
    <w:p w:rsidR="00851613" w:rsidRPr="00851613" w:rsidRDefault="00851613" w:rsidP="00851613">
      <w:pPr>
        <w:spacing w:before="100" w:beforeAutospacing="1" w:after="100" w:afterAutospacing="1" w:line="240" w:lineRule="auto"/>
        <w:rPr>
          <w:rFonts w:ascii="Tahoma" w:eastAsia="Times New Roman" w:hAnsi="Tahoma" w:cs="Tahoma"/>
          <w:lang w:eastAsia="en-CA"/>
        </w:rPr>
      </w:pPr>
      <w:r w:rsidRPr="00851613">
        <w:rPr>
          <w:rFonts w:ascii="Tahoma" w:eastAsia="Times New Roman" w:hAnsi="Tahoma" w:cs="Tahoma"/>
          <w:lang w:eastAsia="en-CA"/>
        </w:rPr>
        <w:t> </w:t>
      </w:r>
      <w:bookmarkStart w:id="12" w:name="comments"/>
      <w:bookmarkEnd w:id="12"/>
      <w:r w:rsidRPr="00851613">
        <w:rPr>
          <w:rFonts w:ascii="Tahoma" w:eastAsia="Times New Roman" w:hAnsi="Tahoma" w:cs="Tahoma"/>
          <w:b/>
          <w:bCs/>
          <w:sz w:val="24"/>
          <w:szCs w:val="24"/>
          <w:lang w:eastAsia="en-CA"/>
        </w:rPr>
        <w:t>Indicator Comments</w:t>
      </w:r>
      <w:r w:rsidRPr="00851613">
        <w:rPr>
          <w:rFonts w:ascii="Tahoma" w:eastAsia="Times New Roman" w:hAnsi="Tahoma" w:cs="Tahoma"/>
          <w:sz w:val="20"/>
          <w:szCs w:val="20"/>
          <w:lang w:eastAsia="en-CA"/>
        </w:rPr>
        <w:t xml:space="preserve"> </w:t>
      </w:r>
    </w:p>
    <w:p w:rsidR="00851613" w:rsidRDefault="00A42C1F" w:rsidP="00F60798">
      <w:pPr>
        <w:numPr>
          <w:ilvl w:val="0"/>
          <w:numId w:val="14"/>
        </w:numPr>
        <w:spacing w:before="100" w:beforeAutospacing="1" w:after="100" w:afterAutospacing="1" w:line="240" w:lineRule="auto"/>
        <w:rPr>
          <w:rFonts w:ascii="Tahoma" w:eastAsia="Times New Roman" w:hAnsi="Tahoma" w:cs="Tahoma"/>
          <w:lang w:eastAsia="en-CA"/>
        </w:rPr>
      </w:pPr>
      <w:r>
        <w:rPr>
          <w:rFonts w:ascii="Tahoma" w:eastAsia="Times New Roman" w:hAnsi="Tahoma" w:cs="Tahoma"/>
          <w:sz w:val="20"/>
          <w:szCs w:val="20"/>
          <w:lang w:eastAsia="en-CA"/>
        </w:rPr>
        <w:t>The CCHS is population-</w:t>
      </w:r>
      <w:r w:rsidR="00851613" w:rsidRPr="00851613">
        <w:rPr>
          <w:rFonts w:ascii="Tahoma" w:eastAsia="Times New Roman" w:hAnsi="Tahoma" w:cs="Tahoma"/>
          <w:sz w:val="20"/>
          <w:szCs w:val="20"/>
          <w:lang w:eastAsia="en-CA"/>
        </w:rPr>
        <w:t xml:space="preserve">based </w:t>
      </w:r>
      <w:r>
        <w:rPr>
          <w:rFonts w:ascii="Tahoma" w:eastAsia="Times New Roman" w:hAnsi="Tahoma" w:cs="Tahoma"/>
          <w:sz w:val="20"/>
          <w:szCs w:val="20"/>
          <w:lang w:eastAsia="en-CA"/>
        </w:rPr>
        <w:t>and excludes institutionalized populations, and the homeless</w:t>
      </w:r>
      <w:r w:rsidR="00851613" w:rsidRPr="00851613">
        <w:rPr>
          <w:rFonts w:ascii="Tahoma" w:eastAsia="Times New Roman" w:hAnsi="Tahoma" w:cs="Tahoma"/>
          <w:sz w:val="20"/>
          <w:szCs w:val="20"/>
          <w:lang w:eastAsia="en-CA"/>
        </w:rPr>
        <w:t>.</w:t>
      </w:r>
      <w:r w:rsidR="00851613" w:rsidRPr="00851613">
        <w:rPr>
          <w:rFonts w:ascii="Tahoma" w:eastAsia="Times New Roman" w:hAnsi="Tahoma" w:cs="Tahoma"/>
          <w:lang w:eastAsia="en-CA"/>
        </w:rPr>
        <w:t xml:space="preserve"> </w:t>
      </w:r>
    </w:p>
    <w:p w:rsidR="00F60798" w:rsidRDefault="003D6B0B" w:rsidP="00F60798">
      <w:pPr>
        <w:numPr>
          <w:ilvl w:val="0"/>
          <w:numId w:val="14"/>
        </w:numPr>
        <w:spacing w:before="100" w:beforeAutospacing="1" w:after="100" w:afterAutospacing="1" w:line="240" w:lineRule="auto"/>
        <w:rPr>
          <w:rFonts w:ascii="Tahoma" w:eastAsia="Times New Roman" w:hAnsi="Tahoma" w:cs="Tahoma"/>
          <w:sz w:val="20"/>
          <w:szCs w:val="20"/>
          <w:lang w:eastAsia="en-CA"/>
        </w:rPr>
      </w:pPr>
      <w:r w:rsidRPr="003D6B0B">
        <w:rPr>
          <w:rFonts w:ascii="Tahoma" w:eastAsia="Times New Roman" w:hAnsi="Tahoma" w:cs="Tahoma"/>
          <w:sz w:val="20"/>
          <w:szCs w:val="20"/>
          <w:lang w:eastAsia="en-CA"/>
        </w:rPr>
        <w:t>Sense of community belonging</w:t>
      </w:r>
      <w:r>
        <w:rPr>
          <w:rFonts w:ascii="Tahoma" w:eastAsia="Times New Roman" w:hAnsi="Tahoma" w:cs="Tahoma"/>
          <w:sz w:val="20"/>
          <w:szCs w:val="20"/>
          <w:lang w:eastAsia="en-CA"/>
        </w:rPr>
        <w:t xml:space="preserve"> is a measure of social inclusion. “Socially excluded Canadians are more likely to be unemployed and earn lower wages. They have less access to health and social services, and means of furthering their education. . . . Excluded groups have little influence upon decisions made by governments and other institutions. They lack power.” (1)</w:t>
      </w:r>
    </w:p>
    <w:p w:rsidR="005B1F5C" w:rsidRPr="003D6B0B" w:rsidRDefault="005B1F5C" w:rsidP="00F60798">
      <w:pPr>
        <w:numPr>
          <w:ilvl w:val="0"/>
          <w:numId w:val="14"/>
        </w:numPr>
        <w:spacing w:before="100" w:beforeAutospacing="1" w:after="100" w:afterAutospacing="1" w:line="240" w:lineRule="auto"/>
        <w:rPr>
          <w:rFonts w:ascii="Tahoma" w:eastAsia="Times New Roman" w:hAnsi="Tahoma" w:cs="Tahoma"/>
          <w:sz w:val="20"/>
          <w:szCs w:val="20"/>
          <w:lang w:eastAsia="en-CA"/>
        </w:rPr>
      </w:pPr>
      <w:r>
        <w:rPr>
          <w:rFonts w:ascii="Tahoma" w:eastAsia="Times New Roman" w:hAnsi="Tahoma" w:cs="Tahoma"/>
          <w:sz w:val="20"/>
          <w:szCs w:val="20"/>
          <w:lang w:eastAsia="en-CA"/>
        </w:rPr>
        <w:t>“Social capital is a useful term to cover lack of important social relations between people at the level of whole communities. It reminds us how important it is that we lift our focus from the individual to the community. Societies that are characterized by social cohesion, whether rich like Japan, poor like Kerala, or somewhere in between like Costa Rica, have better health than others with the same wealth but less social cohesion.” (2)</w:t>
      </w:r>
    </w:p>
    <w:p w:rsidR="00851613" w:rsidRPr="00851613" w:rsidRDefault="00851613" w:rsidP="00851613">
      <w:pPr>
        <w:spacing w:before="100" w:beforeAutospacing="1" w:after="100" w:afterAutospacing="1" w:line="240" w:lineRule="auto"/>
        <w:rPr>
          <w:rFonts w:ascii="Tahoma" w:eastAsia="Times New Roman" w:hAnsi="Tahoma" w:cs="Tahoma"/>
          <w:lang w:eastAsia="en-CA"/>
        </w:rPr>
      </w:pPr>
      <w:r w:rsidRPr="00851613">
        <w:rPr>
          <w:rFonts w:ascii="Tahoma" w:eastAsia="Times New Roman" w:hAnsi="Tahoma" w:cs="Tahoma"/>
          <w:lang w:eastAsia="en-CA"/>
        </w:rPr>
        <w:t> </w:t>
      </w:r>
      <w:bookmarkStart w:id="13" w:name="definitions"/>
      <w:bookmarkEnd w:id="13"/>
      <w:r w:rsidRPr="00851613">
        <w:rPr>
          <w:rFonts w:ascii="Tahoma" w:eastAsia="Times New Roman" w:hAnsi="Tahoma" w:cs="Tahoma"/>
          <w:b/>
          <w:bCs/>
          <w:sz w:val="24"/>
          <w:szCs w:val="24"/>
          <w:lang w:eastAsia="en-CA"/>
        </w:rPr>
        <w:t>Definitions</w:t>
      </w:r>
    </w:p>
    <w:p w:rsidR="00851613" w:rsidRPr="00A42C1F" w:rsidRDefault="00A42C1F" w:rsidP="00A42C1F">
      <w:pPr>
        <w:spacing w:before="100" w:beforeAutospacing="1" w:after="100" w:afterAutospacing="1" w:line="240" w:lineRule="auto"/>
        <w:rPr>
          <w:rFonts w:ascii="Tahoma" w:eastAsia="Times New Roman" w:hAnsi="Tahoma" w:cs="Tahoma"/>
          <w:lang w:eastAsia="en-CA"/>
        </w:rPr>
      </w:pPr>
      <w:proofErr w:type="gramStart"/>
      <w:r w:rsidRPr="00A42C1F">
        <w:rPr>
          <w:rFonts w:ascii="Tahoma" w:eastAsia="Times New Roman" w:hAnsi="Tahoma" w:cs="Tahoma"/>
          <w:iCs/>
          <w:sz w:val="20"/>
          <w:szCs w:val="20"/>
          <w:lang w:eastAsia="en-CA"/>
        </w:rPr>
        <w:lastRenderedPageBreak/>
        <w:t>None.</w:t>
      </w:r>
      <w:proofErr w:type="gramEnd"/>
    </w:p>
    <w:p w:rsidR="00851613" w:rsidRPr="00851613" w:rsidRDefault="00851613" w:rsidP="00851613">
      <w:pPr>
        <w:spacing w:before="100" w:beforeAutospacing="1" w:after="100" w:afterAutospacing="1" w:line="240" w:lineRule="auto"/>
        <w:rPr>
          <w:rFonts w:ascii="Tahoma" w:eastAsia="Times New Roman" w:hAnsi="Tahoma" w:cs="Tahoma"/>
          <w:lang w:eastAsia="en-CA"/>
        </w:rPr>
      </w:pPr>
      <w:bookmarkStart w:id="14" w:name="cross"/>
      <w:bookmarkEnd w:id="14"/>
      <w:r w:rsidRPr="00851613">
        <w:rPr>
          <w:rFonts w:ascii="Tahoma" w:eastAsia="Times New Roman" w:hAnsi="Tahoma" w:cs="Tahoma"/>
          <w:b/>
          <w:bCs/>
          <w:sz w:val="24"/>
          <w:szCs w:val="24"/>
          <w:lang w:eastAsia="en-CA"/>
        </w:rPr>
        <w:t>Cross-References to Other Indicators</w:t>
      </w:r>
      <w:r w:rsidRPr="00851613">
        <w:rPr>
          <w:rFonts w:ascii="Tahoma" w:eastAsia="Times New Roman" w:hAnsi="Tahoma" w:cs="Tahoma"/>
          <w:sz w:val="20"/>
          <w:szCs w:val="20"/>
          <w:lang w:eastAsia="en-CA"/>
        </w:rPr>
        <w:t xml:space="preserve"> </w:t>
      </w:r>
    </w:p>
    <w:p w:rsidR="00851613" w:rsidRPr="00851613" w:rsidRDefault="00246F06" w:rsidP="00246F06">
      <w:pPr>
        <w:spacing w:before="100" w:beforeAutospacing="1" w:after="100" w:afterAutospacing="1" w:line="240" w:lineRule="auto"/>
        <w:rPr>
          <w:rFonts w:ascii="Tahoma" w:eastAsia="Times New Roman" w:hAnsi="Tahoma" w:cs="Tahoma"/>
          <w:lang w:eastAsia="en-CA"/>
        </w:rPr>
      </w:pPr>
      <w:proofErr w:type="gramStart"/>
      <w:r>
        <w:rPr>
          <w:rFonts w:ascii="Tahoma" w:eastAsia="Times New Roman" w:hAnsi="Tahoma" w:cs="Tahoma"/>
          <w:sz w:val="20"/>
          <w:szCs w:val="20"/>
          <w:lang w:eastAsia="en-CA"/>
        </w:rPr>
        <w:t>None.</w:t>
      </w:r>
      <w:proofErr w:type="gramEnd"/>
      <w:r w:rsidR="00851613" w:rsidRPr="00851613">
        <w:rPr>
          <w:rFonts w:ascii="Tahoma" w:eastAsia="Times New Roman" w:hAnsi="Tahoma" w:cs="Tahoma"/>
          <w:sz w:val="20"/>
          <w:szCs w:val="20"/>
          <w:lang w:eastAsia="en-CA"/>
        </w:rPr>
        <w:t xml:space="preserve"> </w:t>
      </w:r>
    </w:p>
    <w:p w:rsidR="00851613" w:rsidRPr="00851613" w:rsidRDefault="00851613" w:rsidP="00851613">
      <w:pPr>
        <w:spacing w:before="100" w:beforeAutospacing="1" w:after="100" w:afterAutospacing="1" w:line="240" w:lineRule="auto"/>
        <w:rPr>
          <w:rFonts w:ascii="Tahoma" w:eastAsia="Times New Roman" w:hAnsi="Tahoma" w:cs="Tahoma"/>
          <w:lang w:eastAsia="en-CA"/>
        </w:rPr>
      </w:pPr>
      <w:bookmarkStart w:id="15" w:name="references"/>
      <w:bookmarkEnd w:id="15"/>
      <w:r w:rsidRPr="00851613">
        <w:rPr>
          <w:rFonts w:ascii="Tahoma" w:eastAsia="Times New Roman" w:hAnsi="Tahoma" w:cs="Tahoma"/>
          <w:b/>
          <w:bCs/>
          <w:sz w:val="24"/>
          <w:szCs w:val="24"/>
          <w:lang w:eastAsia="en-CA"/>
        </w:rPr>
        <w:t>Cited Reference(s)</w:t>
      </w:r>
    </w:p>
    <w:p w:rsidR="00851613" w:rsidRDefault="003D6B0B" w:rsidP="003D6B0B">
      <w:pPr>
        <w:pStyle w:val="ListParagraph"/>
        <w:numPr>
          <w:ilvl w:val="0"/>
          <w:numId w:val="20"/>
        </w:numPr>
        <w:spacing w:before="100" w:beforeAutospacing="1" w:after="100" w:afterAutospacing="1" w:line="240" w:lineRule="auto"/>
        <w:rPr>
          <w:rFonts w:ascii="Tahoma" w:eastAsia="Times New Roman" w:hAnsi="Tahoma" w:cs="Tahoma"/>
          <w:lang w:eastAsia="en-CA"/>
        </w:rPr>
      </w:pPr>
      <w:proofErr w:type="spellStart"/>
      <w:r>
        <w:rPr>
          <w:rFonts w:ascii="Tahoma" w:eastAsia="Times New Roman" w:hAnsi="Tahoma" w:cs="Tahoma"/>
          <w:lang w:eastAsia="en-CA"/>
        </w:rPr>
        <w:t>Mikkonen</w:t>
      </w:r>
      <w:proofErr w:type="spellEnd"/>
      <w:r>
        <w:rPr>
          <w:rFonts w:ascii="Tahoma" w:eastAsia="Times New Roman" w:hAnsi="Tahoma" w:cs="Tahoma"/>
          <w:lang w:eastAsia="en-CA"/>
        </w:rPr>
        <w:t xml:space="preserve">, J. &amp; Raphael, D. (2010). Social Determinants of Health: The Canadian Facts. Toronto: York University School of Health Policy and Management. Available online at: </w:t>
      </w:r>
      <w:hyperlink r:id="rId30" w:history="1">
        <w:r w:rsidRPr="00BD6173">
          <w:rPr>
            <w:rStyle w:val="Hyperlink"/>
            <w:rFonts w:ascii="Tahoma" w:eastAsia="Times New Roman" w:hAnsi="Tahoma" w:cs="Tahoma"/>
            <w:sz w:val="22"/>
            <w:szCs w:val="22"/>
            <w:lang w:eastAsia="en-CA"/>
          </w:rPr>
          <w:t>http://www.thecanadianfacts.org/</w:t>
        </w:r>
      </w:hyperlink>
      <w:r>
        <w:rPr>
          <w:rFonts w:ascii="Tahoma" w:eastAsia="Times New Roman" w:hAnsi="Tahoma" w:cs="Tahoma"/>
          <w:lang w:eastAsia="en-CA"/>
        </w:rPr>
        <w:t xml:space="preserve"> </w:t>
      </w:r>
    </w:p>
    <w:p w:rsidR="005B1F5C" w:rsidRPr="003D6B0B" w:rsidRDefault="005B1F5C" w:rsidP="003D6B0B">
      <w:pPr>
        <w:pStyle w:val="ListParagraph"/>
        <w:numPr>
          <w:ilvl w:val="0"/>
          <w:numId w:val="20"/>
        </w:numPr>
        <w:spacing w:before="100" w:beforeAutospacing="1" w:after="100" w:afterAutospacing="1" w:line="240" w:lineRule="auto"/>
        <w:rPr>
          <w:rFonts w:ascii="Tahoma" w:eastAsia="Times New Roman" w:hAnsi="Tahoma" w:cs="Tahoma"/>
          <w:lang w:eastAsia="en-CA"/>
        </w:rPr>
      </w:pPr>
      <w:r>
        <w:rPr>
          <w:rFonts w:ascii="Tahoma" w:eastAsia="Times New Roman" w:hAnsi="Tahoma" w:cs="Tahoma"/>
          <w:lang w:eastAsia="en-CA"/>
        </w:rPr>
        <w:t xml:space="preserve">Marmot, Michael. (2004). </w:t>
      </w:r>
      <w:proofErr w:type="gramStart"/>
      <w:r>
        <w:rPr>
          <w:rFonts w:ascii="Tahoma" w:eastAsia="Times New Roman" w:hAnsi="Tahoma" w:cs="Tahoma"/>
          <w:lang w:eastAsia="en-CA"/>
        </w:rPr>
        <w:t>The</w:t>
      </w:r>
      <w:proofErr w:type="gramEnd"/>
      <w:r>
        <w:rPr>
          <w:rFonts w:ascii="Tahoma" w:eastAsia="Times New Roman" w:hAnsi="Tahoma" w:cs="Tahoma"/>
          <w:lang w:eastAsia="en-CA"/>
        </w:rPr>
        <w:t xml:space="preserve"> Status Syndrome. New York: Times Books.</w:t>
      </w:r>
    </w:p>
    <w:p w:rsidR="00851613" w:rsidRPr="00851613" w:rsidRDefault="00851613" w:rsidP="00851613">
      <w:pPr>
        <w:spacing w:before="100" w:beforeAutospacing="1" w:after="100" w:afterAutospacing="1" w:line="240" w:lineRule="auto"/>
        <w:rPr>
          <w:rFonts w:ascii="Tahoma" w:eastAsia="Times New Roman" w:hAnsi="Tahoma" w:cs="Tahoma"/>
          <w:lang w:eastAsia="en-CA"/>
        </w:rPr>
      </w:pPr>
      <w:bookmarkStart w:id="16" w:name="other_references"/>
      <w:bookmarkEnd w:id="16"/>
      <w:r w:rsidRPr="00851613">
        <w:rPr>
          <w:rFonts w:ascii="Tahoma" w:eastAsia="Times New Roman" w:hAnsi="Tahoma" w:cs="Tahoma"/>
          <w:b/>
          <w:bCs/>
          <w:sz w:val="24"/>
          <w:szCs w:val="24"/>
          <w:lang w:eastAsia="en-CA"/>
        </w:rPr>
        <w:t>Other Reference(s)</w:t>
      </w:r>
    </w:p>
    <w:p w:rsidR="00851613" w:rsidRPr="00246F06" w:rsidRDefault="00246F06" w:rsidP="00246F06">
      <w:pPr>
        <w:spacing w:before="100" w:beforeAutospacing="1" w:after="100" w:afterAutospacing="1" w:line="240" w:lineRule="auto"/>
        <w:rPr>
          <w:rFonts w:ascii="Tahoma" w:eastAsia="Times New Roman" w:hAnsi="Tahoma" w:cs="Tahoma"/>
          <w:lang w:eastAsia="en-CA"/>
        </w:rPr>
      </w:pPr>
      <w:proofErr w:type="gramStart"/>
      <w:r w:rsidRPr="00246F06">
        <w:rPr>
          <w:rFonts w:ascii="Tahoma" w:eastAsia="Times New Roman" w:hAnsi="Tahoma" w:cs="Tahoma"/>
          <w:iCs/>
          <w:sz w:val="20"/>
          <w:szCs w:val="20"/>
          <w:lang w:eastAsia="en-CA"/>
        </w:rPr>
        <w:t>None.</w:t>
      </w:r>
      <w:proofErr w:type="gramEnd"/>
    </w:p>
    <w:p w:rsidR="00851613" w:rsidRPr="00851613" w:rsidRDefault="00851613" w:rsidP="00851613">
      <w:pPr>
        <w:spacing w:before="100" w:beforeAutospacing="1" w:after="100" w:afterAutospacing="1" w:line="240" w:lineRule="auto"/>
        <w:rPr>
          <w:rFonts w:ascii="Tahoma" w:eastAsia="Times New Roman" w:hAnsi="Tahoma" w:cs="Tahoma"/>
          <w:sz w:val="24"/>
          <w:szCs w:val="24"/>
          <w:lang w:eastAsia="en-CA"/>
        </w:rPr>
      </w:pPr>
      <w:bookmarkStart w:id="17" w:name="acknowledgements"/>
      <w:bookmarkEnd w:id="17"/>
      <w:r w:rsidRPr="00851613">
        <w:rPr>
          <w:rFonts w:ascii="Tahoma" w:eastAsia="Times New Roman" w:hAnsi="Tahoma" w:cs="Tahoma"/>
          <w:b/>
          <w:bCs/>
          <w:sz w:val="24"/>
          <w:szCs w:val="24"/>
          <w:lang w:eastAsia="en-CA"/>
        </w:rPr>
        <w:t>Acknowledgements</w:t>
      </w:r>
    </w:p>
    <w:tbl>
      <w:tblPr>
        <w:tblW w:w="918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751"/>
        <w:gridCol w:w="4429"/>
      </w:tblGrid>
      <w:tr w:rsidR="005B1F5C" w:rsidRPr="0085161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51613" w:rsidRPr="00851613" w:rsidRDefault="00851613" w:rsidP="00851613">
            <w:pPr>
              <w:spacing w:before="100" w:beforeAutospacing="1" w:after="100" w:afterAutospacing="1" w:line="240" w:lineRule="auto"/>
              <w:rPr>
                <w:rFonts w:ascii="Arial" w:eastAsia="Times New Roman" w:hAnsi="Arial" w:cs="Arial"/>
                <w:sz w:val="20"/>
                <w:szCs w:val="20"/>
                <w:lang w:eastAsia="en-CA"/>
              </w:rPr>
            </w:pPr>
            <w:r w:rsidRPr="00851613">
              <w:rPr>
                <w:rFonts w:ascii="Tahoma" w:eastAsia="Times New Roman" w:hAnsi="Tahoma" w:cs="Tahoma"/>
                <w:sz w:val="20"/>
                <w:szCs w:val="20"/>
                <w:lang w:eastAsia="en-CA"/>
              </w:rPr>
              <w:t>Lead Author(s)</w:t>
            </w:r>
          </w:p>
        </w:tc>
        <w:tc>
          <w:tcPr>
            <w:tcW w:w="0" w:type="auto"/>
            <w:tcBorders>
              <w:top w:val="outset" w:sz="6" w:space="0" w:color="auto"/>
              <w:left w:val="outset" w:sz="6" w:space="0" w:color="auto"/>
              <w:bottom w:val="outset" w:sz="6" w:space="0" w:color="auto"/>
              <w:right w:val="outset" w:sz="6" w:space="0" w:color="auto"/>
            </w:tcBorders>
            <w:hideMark/>
          </w:tcPr>
          <w:p w:rsidR="00851613" w:rsidRPr="00851613" w:rsidRDefault="00246F06" w:rsidP="00851613">
            <w:pPr>
              <w:spacing w:before="100" w:beforeAutospacing="1" w:after="100" w:afterAutospacing="1" w:line="240" w:lineRule="auto"/>
              <w:rPr>
                <w:rFonts w:ascii="Tahoma" w:eastAsia="Times New Roman" w:hAnsi="Tahoma" w:cs="Tahoma"/>
                <w:sz w:val="20"/>
                <w:szCs w:val="20"/>
                <w:lang w:eastAsia="en-CA"/>
              </w:rPr>
            </w:pPr>
            <w:r>
              <w:rPr>
                <w:rFonts w:ascii="Tahoma" w:eastAsia="Times New Roman" w:hAnsi="Tahoma" w:cs="Tahoma"/>
                <w:sz w:val="20"/>
                <w:szCs w:val="20"/>
                <w:lang w:eastAsia="en-CA"/>
              </w:rPr>
              <w:t>Virginia McFarland</w:t>
            </w:r>
          </w:p>
        </w:tc>
      </w:tr>
      <w:tr w:rsidR="005B1F5C" w:rsidRPr="0085161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51613" w:rsidRPr="00851613" w:rsidRDefault="00851613" w:rsidP="00851613">
            <w:pPr>
              <w:spacing w:before="100" w:beforeAutospacing="1" w:after="100" w:afterAutospacing="1" w:line="240" w:lineRule="auto"/>
              <w:rPr>
                <w:rFonts w:ascii="Arial" w:eastAsia="Times New Roman" w:hAnsi="Arial" w:cs="Arial"/>
                <w:sz w:val="20"/>
                <w:szCs w:val="20"/>
                <w:lang w:eastAsia="en-CA"/>
              </w:rPr>
            </w:pPr>
            <w:r w:rsidRPr="00851613">
              <w:rPr>
                <w:rFonts w:ascii="Tahoma" w:eastAsia="Times New Roman" w:hAnsi="Tahoma" w:cs="Tahoma"/>
                <w:sz w:val="20"/>
                <w:szCs w:val="20"/>
                <w:lang w:eastAsia="en-CA"/>
              </w:rPr>
              <w:t>Contributing Author(s)</w:t>
            </w:r>
          </w:p>
        </w:tc>
        <w:tc>
          <w:tcPr>
            <w:tcW w:w="0" w:type="auto"/>
            <w:tcBorders>
              <w:top w:val="outset" w:sz="6" w:space="0" w:color="auto"/>
              <w:left w:val="outset" w:sz="6" w:space="0" w:color="auto"/>
              <w:bottom w:val="outset" w:sz="6" w:space="0" w:color="auto"/>
              <w:right w:val="outset" w:sz="6" w:space="0" w:color="auto"/>
            </w:tcBorders>
            <w:hideMark/>
          </w:tcPr>
          <w:p w:rsidR="00851613" w:rsidRPr="00851613" w:rsidRDefault="00246F06" w:rsidP="00246F06">
            <w:pPr>
              <w:spacing w:before="100" w:beforeAutospacing="1" w:after="100" w:afterAutospacing="1" w:line="240" w:lineRule="auto"/>
              <w:rPr>
                <w:rFonts w:ascii="Tahoma" w:eastAsia="Times New Roman" w:hAnsi="Tahoma" w:cs="Tahoma"/>
                <w:sz w:val="20"/>
                <w:szCs w:val="20"/>
                <w:lang w:eastAsia="en-CA"/>
              </w:rPr>
            </w:pPr>
            <w:r>
              <w:rPr>
                <w:rFonts w:ascii="Tahoma" w:eastAsia="Times New Roman" w:hAnsi="Tahoma" w:cs="Tahoma"/>
                <w:sz w:val="20"/>
                <w:szCs w:val="20"/>
                <w:lang w:eastAsia="en-CA"/>
              </w:rPr>
              <w:t>Sarah Edwards</w:t>
            </w:r>
            <w:r>
              <w:rPr>
                <w:rFonts w:ascii="Tahoma" w:eastAsia="Times New Roman" w:hAnsi="Tahoma" w:cs="Tahoma"/>
                <w:sz w:val="20"/>
                <w:szCs w:val="20"/>
                <w:lang w:eastAsia="en-CA"/>
              </w:rPr>
              <w:br/>
              <w:t>Ziad El-Khatib</w:t>
            </w:r>
            <w:r>
              <w:rPr>
                <w:rFonts w:ascii="Tahoma" w:eastAsia="Times New Roman" w:hAnsi="Tahoma" w:cs="Tahoma"/>
                <w:sz w:val="20"/>
                <w:szCs w:val="20"/>
                <w:lang w:eastAsia="en-CA"/>
              </w:rPr>
              <w:br/>
              <w:t>William Kou</w:t>
            </w:r>
            <w:r>
              <w:rPr>
                <w:rFonts w:ascii="Tahoma" w:eastAsia="Times New Roman" w:hAnsi="Tahoma" w:cs="Tahoma"/>
                <w:sz w:val="20"/>
                <w:szCs w:val="20"/>
                <w:lang w:eastAsia="en-CA"/>
              </w:rPr>
              <w:br/>
              <w:t>Dinna Lozano</w:t>
            </w:r>
            <w:r>
              <w:rPr>
                <w:rFonts w:ascii="Tahoma" w:eastAsia="Times New Roman" w:hAnsi="Tahoma" w:cs="Tahoma"/>
                <w:sz w:val="20"/>
                <w:szCs w:val="20"/>
                <w:lang w:eastAsia="en-CA"/>
              </w:rPr>
              <w:br/>
              <w:t>Cameron McDermaid</w:t>
            </w:r>
          </w:p>
        </w:tc>
      </w:tr>
      <w:tr w:rsidR="005B1F5C" w:rsidRPr="0085161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51613" w:rsidRPr="00851613" w:rsidRDefault="00851613" w:rsidP="00851613">
            <w:pPr>
              <w:spacing w:after="0" w:line="240" w:lineRule="auto"/>
              <w:rPr>
                <w:rFonts w:ascii="Arial" w:eastAsia="Times New Roman" w:hAnsi="Arial" w:cs="Arial"/>
                <w:sz w:val="20"/>
                <w:szCs w:val="20"/>
                <w:lang w:eastAsia="en-CA"/>
              </w:rPr>
            </w:pPr>
            <w:r w:rsidRPr="00851613">
              <w:rPr>
                <w:rFonts w:ascii="Tahoma" w:eastAsia="Times New Roman" w:hAnsi="Tahoma" w:cs="Tahoma"/>
                <w:sz w:val="20"/>
                <w:szCs w:val="20"/>
                <w:lang w:eastAsia="en-CA"/>
              </w:rPr>
              <w:t>CIWG Reviewers</w:t>
            </w:r>
          </w:p>
        </w:tc>
        <w:tc>
          <w:tcPr>
            <w:tcW w:w="0" w:type="auto"/>
            <w:tcBorders>
              <w:top w:val="outset" w:sz="6" w:space="0" w:color="auto"/>
              <w:left w:val="outset" w:sz="6" w:space="0" w:color="auto"/>
              <w:bottom w:val="outset" w:sz="6" w:space="0" w:color="auto"/>
              <w:right w:val="outset" w:sz="6" w:space="0" w:color="auto"/>
            </w:tcBorders>
            <w:hideMark/>
          </w:tcPr>
          <w:p w:rsidR="00851613" w:rsidRPr="005B1F5C" w:rsidRDefault="00246F06" w:rsidP="00851613">
            <w:pPr>
              <w:spacing w:before="100" w:beforeAutospacing="1" w:after="100" w:afterAutospacing="1" w:line="240" w:lineRule="auto"/>
              <w:rPr>
                <w:rFonts w:ascii="Tahoma" w:eastAsia="Times New Roman" w:hAnsi="Tahoma" w:cs="Tahoma"/>
                <w:sz w:val="20"/>
                <w:szCs w:val="20"/>
                <w:lang w:eastAsia="en-CA"/>
              </w:rPr>
            </w:pPr>
            <w:r w:rsidRPr="005B1F5C">
              <w:rPr>
                <w:rFonts w:ascii="Tahoma" w:eastAsia="Times New Roman" w:hAnsi="Tahoma" w:cs="Tahoma"/>
                <w:sz w:val="20"/>
                <w:szCs w:val="20"/>
                <w:lang w:eastAsia="en-CA"/>
              </w:rPr>
              <w:t>None yet</w:t>
            </w:r>
          </w:p>
        </w:tc>
      </w:tr>
      <w:tr w:rsidR="005B1F5C" w:rsidRPr="0085161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51613" w:rsidRPr="00851613" w:rsidRDefault="00851613" w:rsidP="00851613">
            <w:pPr>
              <w:spacing w:after="0" w:line="240" w:lineRule="auto"/>
              <w:rPr>
                <w:rFonts w:ascii="Arial" w:eastAsia="Times New Roman" w:hAnsi="Arial" w:cs="Arial"/>
                <w:sz w:val="20"/>
                <w:szCs w:val="20"/>
                <w:lang w:eastAsia="en-CA"/>
              </w:rPr>
            </w:pPr>
            <w:r w:rsidRPr="00851613">
              <w:rPr>
                <w:rFonts w:ascii="Tahoma" w:eastAsia="Times New Roman" w:hAnsi="Tahoma" w:cs="Tahoma"/>
                <w:sz w:val="20"/>
                <w:szCs w:val="20"/>
                <w:lang w:eastAsia="en-CA"/>
              </w:rPr>
              <w:t>External Reviewers</w:t>
            </w:r>
          </w:p>
        </w:tc>
        <w:tc>
          <w:tcPr>
            <w:tcW w:w="0" w:type="auto"/>
            <w:tcBorders>
              <w:top w:val="outset" w:sz="6" w:space="0" w:color="auto"/>
              <w:left w:val="outset" w:sz="6" w:space="0" w:color="auto"/>
              <w:bottom w:val="outset" w:sz="6" w:space="0" w:color="auto"/>
              <w:right w:val="outset" w:sz="6" w:space="0" w:color="auto"/>
            </w:tcBorders>
            <w:vAlign w:val="center"/>
            <w:hideMark/>
          </w:tcPr>
          <w:p w:rsidR="00851613" w:rsidRPr="005B1F5C" w:rsidRDefault="005B1F5C" w:rsidP="005B1F5C">
            <w:pPr>
              <w:spacing w:before="100" w:beforeAutospacing="1" w:after="100" w:afterAutospacing="1" w:line="240" w:lineRule="auto"/>
              <w:rPr>
                <w:rFonts w:ascii="Tahoma" w:eastAsia="Times New Roman" w:hAnsi="Tahoma" w:cs="Tahoma"/>
                <w:sz w:val="20"/>
                <w:szCs w:val="20"/>
                <w:lang w:eastAsia="en-CA"/>
              </w:rPr>
            </w:pPr>
            <w:r>
              <w:rPr>
                <w:rFonts w:ascii="Tahoma" w:eastAsia="Times New Roman" w:hAnsi="Tahoma" w:cs="Tahoma"/>
                <w:sz w:val="20"/>
                <w:szCs w:val="20"/>
                <w:lang w:eastAsia="en-CA"/>
              </w:rPr>
              <w:t>Robert Barnett</w:t>
            </w:r>
            <w:r>
              <w:rPr>
                <w:rFonts w:ascii="Tahoma" w:eastAsia="Times New Roman" w:hAnsi="Tahoma" w:cs="Tahoma"/>
                <w:sz w:val="20"/>
                <w:szCs w:val="20"/>
                <w:lang w:eastAsia="en-CA"/>
              </w:rPr>
              <w:br/>
            </w:r>
            <w:r w:rsidRPr="005B1F5C">
              <w:rPr>
                <w:rFonts w:ascii="Tahoma" w:eastAsia="Times New Roman" w:hAnsi="Tahoma" w:cs="Tahoma"/>
                <w:sz w:val="20"/>
                <w:szCs w:val="20"/>
                <w:lang w:eastAsia="en-CA"/>
              </w:rPr>
              <w:t>Elizabeth Rael</w:t>
            </w:r>
            <w:r>
              <w:rPr>
                <w:rFonts w:ascii="Tahoma" w:eastAsia="Times New Roman" w:hAnsi="Tahoma" w:cs="Tahoma"/>
                <w:sz w:val="20"/>
                <w:szCs w:val="20"/>
                <w:lang w:eastAsia="en-CA"/>
              </w:rPr>
              <w:br/>
              <w:t>Kristin Saunders</w:t>
            </w:r>
          </w:p>
        </w:tc>
      </w:tr>
    </w:tbl>
    <w:p w:rsidR="00851613" w:rsidRPr="00851613" w:rsidRDefault="00851613" w:rsidP="00851613">
      <w:pPr>
        <w:spacing w:before="100" w:beforeAutospacing="1" w:after="100" w:afterAutospacing="1" w:line="240" w:lineRule="auto"/>
        <w:rPr>
          <w:rFonts w:ascii="Times New Roman" w:eastAsia="Times New Roman" w:hAnsi="Times New Roman" w:cs="Times New Roman"/>
          <w:sz w:val="20"/>
          <w:szCs w:val="20"/>
          <w:lang w:eastAsia="en-CA"/>
        </w:rPr>
      </w:pPr>
      <w:bookmarkStart w:id="18" w:name="Changes_made"/>
      <w:bookmarkEnd w:id="18"/>
      <w:r w:rsidRPr="00851613">
        <w:rPr>
          <w:rFonts w:ascii="Tahoma" w:eastAsia="Times New Roman" w:hAnsi="Tahoma" w:cs="Tahoma"/>
          <w:b/>
          <w:bCs/>
          <w:sz w:val="24"/>
          <w:szCs w:val="24"/>
          <w:lang w:eastAsia="en-CA"/>
        </w:rPr>
        <w:t>Changes made</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265"/>
        <w:gridCol w:w="2265"/>
        <w:gridCol w:w="2265"/>
        <w:gridCol w:w="2265"/>
      </w:tblGrid>
      <w:tr w:rsidR="00851613" w:rsidRPr="00851613">
        <w:trPr>
          <w:tblCellSpacing w:w="0" w:type="dxa"/>
        </w:trPr>
        <w:tc>
          <w:tcPr>
            <w:tcW w:w="2265" w:type="dxa"/>
            <w:tcBorders>
              <w:top w:val="outset" w:sz="6" w:space="0" w:color="auto"/>
              <w:left w:val="outset" w:sz="6" w:space="0" w:color="auto"/>
              <w:bottom w:val="outset" w:sz="6" w:space="0" w:color="auto"/>
              <w:right w:val="outset" w:sz="6" w:space="0" w:color="auto"/>
            </w:tcBorders>
            <w:hideMark/>
          </w:tcPr>
          <w:p w:rsidR="00851613" w:rsidRPr="00851613" w:rsidRDefault="00851613" w:rsidP="00851613">
            <w:pPr>
              <w:spacing w:before="100" w:beforeAutospacing="1" w:after="100" w:afterAutospacing="1" w:line="240" w:lineRule="auto"/>
              <w:jc w:val="center"/>
              <w:rPr>
                <w:rFonts w:ascii="Arial" w:eastAsia="Times New Roman" w:hAnsi="Arial" w:cs="Arial"/>
                <w:sz w:val="20"/>
                <w:szCs w:val="20"/>
                <w:lang w:eastAsia="en-CA"/>
              </w:rPr>
            </w:pPr>
            <w:r w:rsidRPr="00851613">
              <w:rPr>
                <w:rFonts w:ascii="Tahoma" w:eastAsia="Times New Roman" w:hAnsi="Tahoma" w:cs="Tahoma"/>
                <w:sz w:val="20"/>
                <w:szCs w:val="20"/>
                <w:lang w:eastAsia="en-CA"/>
              </w:rPr>
              <w:t>Date</w:t>
            </w:r>
          </w:p>
        </w:tc>
        <w:tc>
          <w:tcPr>
            <w:tcW w:w="2265" w:type="dxa"/>
            <w:tcBorders>
              <w:top w:val="outset" w:sz="6" w:space="0" w:color="auto"/>
              <w:left w:val="outset" w:sz="6" w:space="0" w:color="auto"/>
              <w:bottom w:val="outset" w:sz="6" w:space="0" w:color="auto"/>
              <w:right w:val="outset" w:sz="6" w:space="0" w:color="auto"/>
            </w:tcBorders>
            <w:hideMark/>
          </w:tcPr>
          <w:p w:rsidR="00851613" w:rsidRPr="00851613" w:rsidRDefault="00851613" w:rsidP="00851613">
            <w:pPr>
              <w:spacing w:before="100" w:beforeAutospacing="1" w:after="100" w:afterAutospacing="1" w:line="240" w:lineRule="auto"/>
              <w:jc w:val="center"/>
              <w:rPr>
                <w:rFonts w:ascii="Arial" w:eastAsia="Times New Roman" w:hAnsi="Arial" w:cs="Arial"/>
                <w:sz w:val="20"/>
                <w:szCs w:val="20"/>
                <w:lang w:eastAsia="en-CA"/>
              </w:rPr>
            </w:pPr>
            <w:r w:rsidRPr="00851613">
              <w:rPr>
                <w:rFonts w:ascii="Tahoma" w:eastAsia="Times New Roman" w:hAnsi="Tahoma" w:cs="Tahoma"/>
                <w:sz w:val="20"/>
                <w:szCs w:val="20"/>
                <w:lang w:eastAsia="en-CA"/>
              </w:rPr>
              <w:t>Type of Review-Formal Review or Ad Hoc?</w:t>
            </w:r>
          </w:p>
        </w:tc>
        <w:tc>
          <w:tcPr>
            <w:tcW w:w="2265" w:type="dxa"/>
            <w:tcBorders>
              <w:top w:val="outset" w:sz="6" w:space="0" w:color="auto"/>
              <w:left w:val="outset" w:sz="6" w:space="0" w:color="auto"/>
              <w:bottom w:val="outset" w:sz="6" w:space="0" w:color="auto"/>
              <w:right w:val="outset" w:sz="6" w:space="0" w:color="auto"/>
            </w:tcBorders>
            <w:hideMark/>
          </w:tcPr>
          <w:p w:rsidR="00851613" w:rsidRPr="00851613" w:rsidRDefault="00851613" w:rsidP="00851613">
            <w:pPr>
              <w:spacing w:before="100" w:beforeAutospacing="1" w:after="100" w:afterAutospacing="1" w:line="240" w:lineRule="auto"/>
              <w:jc w:val="center"/>
              <w:rPr>
                <w:rFonts w:ascii="Arial" w:eastAsia="Times New Roman" w:hAnsi="Arial" w:cs="Arial"/>
                <w:sz w:val="20"/>
                <w:szCs w:val="20"/>
                <w:lang w:eastAsia="en-CA"/>
              </w:rPr>
            </w:pPr>
            <w:r w:rsidRPr="00851613">
              <w:rPr>
                <w:rFonts w:ascii="Tahoma" w:eastAsia="Times New Roman" w:hAnsi="Tahoma" w:cs="Tahoma"/>
                <w:sz w:val="20"/>
                <w:szCs w:val="20"/>
                <w:lang w:eastAsia="en-CA"/>
              </w:rPr>
              <w:t>Changes made by</w:t>
            </w:r>
          </w:p>
        </w:tc>
        <w:tc>
          <w:tcPr>
            <w:tcW w:w="2265" w:type="dxa"/>
            <w:tcBorders>
              <w:top w:val="outset" w:sz="6" w:space="0" w:color="auto"/>
              <w:left w:val="outset" w:sz="6" w:space="0" w:color="auto"/>
              <w:bottom w:val="outset" w:sz="6" w:space="0" w:color="auto"/>
              <w:right w:val="outset" w:sz="6" w:space="0" w:color="auto"/>
            </w:tcBorders>
            <w:hideMark/>
          </w:tcPr>
          <w:p w:rsidR="00851613" w:rsidRPr="00851613" w:rsidRDefault="00851613" w:rsidP="00851613">
            <w:pPr>
              <w:spacing w:before="100" w:beforeAutospacing="1" w:after="100" w:afterAutospacing="1" w:line="240" w:lineRule="auto"/>
              <w:jc w:val="center"/>
              <w:rPr>
                <w:rFonts w:ascii="Arial" w:eastAsia="Times New Roman" w:hAnsi="Arial" w:cs="Arial"/>
                <w:sz w:val="20"/>
                <w:szCs w:val="20"/>
                <w:lang w:eastAsia="en-CA"/>
              </w:rPr>
            </w:pPr>
            <w:r w:rsidRPr="00851613">
              <w:rPr>
                <w:rFonts w:ascii="Tahoma" w:eastAsia="Times New Roman" w:hAnsi="Tahoma" w:cs="Tahoma"/>
                <w:sz w:val="20"/>
                <w:szCs w:val="20"/>
                <w:lang w:eastAsia="en-CA"/>
              </w:rPr>
              <w:t>Changes</w:t>
            </w:r>
          </w:p>
        </w:tc>
      </w:tr>
      <w:tr w:rsidR="00851613" w:rsidRPr="00851613">
        <w:trPr>
          <w:tblCellSpacing w:w="0" w:type="dxa"/>
        </w:trPr>
        <w:tc>
          <w:tcPr>
            <w:tcW w:w="2265" w:type="dxa"/>
            <w:tcBorders>
              <w:top w:val="outset" w:sz="6" w:space="0" w:color="auto"/>
              <w:left w:val="outset" w:sz="6" w:space="0" w:color="auto"/>
              <w:bottom w:val="outset" w:sz="6" w:space="0" w:color="auto"/>
              <w:right w:val="outset" w:sz="6" w:space="0" w:color="auto"/>
            </w:tcBorders>
            <w:hideMark/>
          </w:tcPr>
          <w:p w:rsidR="00851613" w:rsidRPr="00851613" w:rsidRDefault="008556DD" w:rsidP="00851613">
            <w:pPr>
              <w:spacing w:before="100" w:beforeAutospacing="1" w:after="100" w:afterAutospacing="1" w:line="240" w:lineRule="auto"/>
              <w:rPr>
                <w:rFonts w:ascii="Arial" w:eastAsia="Times New Roman" w:hAnsi="Arial" w:cs="Arial"/>
                <w:sz w:val="20"/>
                <w:szCs w:val="20"/>
                <w:lang w:eastAsia="en-CA"/>
              </w:rPr>
            </w:pPr>
            <w:r>
              <w:rPr>
                <w:rFonts w:ascii="Tahoma" w:eastAsia="Times New Roman" w:hAnsi="Tahoma" w:cs="Tahoma"/>
                <w:sz w:val="20"/>
                <w:szCs w:val="20"/>
                <w:lang w:eastAsia="en-CA"/>
              </w:rPr>
              <w:t>December 2014</w:t>
            </w:r>
          </w:p>
        </w:tc>
        <w:tc>
          <w:tcPr>
            <w:tcW w:w="2265" w:type="dxa"/>
            <w:tcBorders>
              <w:top w:val="outset" w:sz="6" w:space="0" w:color="auto"/>
              <w:left w:val="outset" w:sz="6" w:space="0" w:color="auto"/>
              <w:bottom w:val="outset" w:sz="6" w:space="0" w:color="auto"/>
              <w:right w:val="outset" w:sz="6" w:space="0" w:color="auto"/>
            </w:tcBorders>
            <w:hideMark/>
          </w:tcPr>
          <w:p w:rsidR="00851613" w:rsidRPr="00851613" w:rsidRDefault="00246F06" w:rsidP="00851613">
            <w:pPr>
              <w:spacing w:before="100" w:beforeAutospacing="1" w:after="100" w:afterAutospacing="1" w:line="240" w:lineRule="auto"/>
              <w:rPr>
                <w:rFonts w:ascii="Arial" w:eastAsia="Times New Roman" w:hAnsi="Arial" w:cs="Arial"/>
                <w:sz w:val="20"/>
                <w:szCs w:val="20"/>
                <w:lang w:eastAsia="en-CA"/>
              </w:rPr>
            </w:pPr>
            <w:r>
              <w:rPr>
                <w:rFonts w:ascii="Tahoma" w:eastAsia="Times New Roman" w:hAnsi="Tahoma" w:cs="Tahoma"/>
                <w:sz w:val="20"/>
                <w:szCs w:val="20"/>
                <w:lang w:eastAsia="en-CA"/>
              </w:rPr>
              <w:t>New Indicator</w:t>
            </w:r>
          </w:p>
        </w:tc>
        <w:tc>
          <w:tcPr>
            <w:tcW w:w="2265" w:type="dxa"/>
            <w:tcBorders>
              <w:top w:val="outset" w:sz="6" w:space="0" w:color="auto"/>
              <w:left w:val="outset" w:sz="6" w:space="0" w:color="auto"/>
              <w:bottom w:val="outset" w:sz="6" w:space="0" w:color="auto"/>
              <w:right w:val="outset" w:sz="6" w:space="0" w:color="auto"/>
            </w:tcBorders>
            <w:hideMark/>
          </w:tcPr>
          <w:p w:rsidR="00851613" w:rsidRPr="00851613" w:rsidRDefault="00246F06" w:rsidP="00851613">
            <w:pPr>
              <w:spacing w:before="100" w:beforeAutospacing="1" w:after="100" w:afterAutospacing="1" w:line="240" w:lineRule="auto"/>
              <w:rPr>
                <w:rFonts w:ascii="Arial" w:eastAsia="Times New Roman" w:hAnsi="Arial" w:cs="Arial"/>
                <w:sz w:val="20"/>
                <w:szCs w:val="20"/>
                <w:lang w:eastAsia="en-CA"/>
              </w:rPr>
            </w:pPr>
            <w:r>
              <w:rPr>
                <w:rFonts w:ascii="Tahoma" w:eastAsia="Times New Roman" w:hAnsi="Tahoma" w:cs="Tahoma"/>
                <w:sz w:val="20"/>
                <w:szCs w:val="20"/>
                <w:lang w:eastAsia="en-CA"/>
              </w:rPr>
              <w:t>Social Determinants of Health Core Indicators Workgroup</w:t>
            </w:r>
          </w:p>
        </w:tc>
        <w:tc>
          <w:tcPr>
            <w:tcW w:w="2265" w:type="dxa"/>
            <w:tcBorders>
              <w:top w:val="outset" w:sz="6" w:space="0" w:color="auto"/>
              <w:left w:val="outset" w:sz="6" w:space="0" w:color="auto"/>
              <w:bottom w:val="outset" w:sz="6" w:space="0" w:color="auto"/>
              <w:right w:val="outset" w:sz="6" w:space="0" w:color="auto"/>
            </w:tcBorders>
            <w:hideMark/>
          </w:tcPr>
          <w:p w:rsidR="00851613" w:rsidRPr="00851613" w:rsidRDefault="00246F06" w:rsidP="00246F06">
            <w:pPr>
              <w:spacing w:before="100" w:beforeAutospacing="1" w:after="100" w:afterAutospacing="1" w:line="240" w:lineRule="auto"/>
              <w:rPr>
                <w:rFonts w:ascii="Arial" w:eastAsia="Times New Roman" w:hAnsi="Arial" w:cs="Arial"/>
                <w:sz w:val="20"/>
                <w:szCs w:val="20"/>
                <w:lang w:eastAsia="en-CA"/>
              </w:rPr>
            </w:pPr>
            <w:r>
              <w:rPr>
                <w:rFonts w:ascii="Tahoma" w:eastAsia="Times New Roman" w:hAnsi="Tahoma" w:cs="Tahoma"/>
                <w:sz w:val="20"/>
                <w:szCs w:val="20"/>
                <w:lang w:eastAsia="en-CA"/>
              </w:rPr>
              <w:t>New Indicator</w:t>
            </w:r>
          </w:p>
        </w:tc>
      </w:tr>
    </w:tbl>
    <w:p w:rsidR="00851613" w:rsidRPr="00851613" w:rsidRDefault="00851613" w:rsidP="00851613">
      <w:pPr>
        <w:spacing w:before="100" w:beforeAutospacing="1" w:after="100" w:afterAutospacing="1" w:line="240" w:lineRule="auto"/>
        <w:rPr>
          <w:rFonts w:ascii="Arial" w:eastAsia="Times New Roman" w:hAnsi="Arial" w:cs="Arial"/>
          <w:sz w:val="20"/>
          <w:szCs w:val="20"/>
          <w:lang w:eastAsia="en-CA"/>
        </w:rPr>
      </w:pPr>
      <w:r w:rsidRPr="00851613">
        <w:rPr>
          <w:rFonts w:ascii="Arial" w:eastAsia="Times New Roman" w:hAnsi="Arial" w:cs="Arial"/>
          <w:sz w:val="20"/>
          <w:szCs w:val="20"/>
          <w:lang w:eastAsia="en-CA"/>
        </w:rPr>
        <w:t> </w:t>
      </w:r>
    </w:p>
    <w:p w:rsidR="002855D3" w:rsidRDefault="00851613" w:rsidP="00851613">
      <w:r w:rsidRPr="00851613">
        <w:rPr>
          <w:rFonts w:ascii="Arial" w:eastAsia="Times New Roman" w:hAnsi="Arial" w:cs="Arial"/>
          <w:sz w:val="20"/>
          <w:szCs w:val="20"/>
          <w:lang w:eastAsia="en-CA"/>
        </w:rPr>
        <w:t xml:space="preserve"> Date of last revision: </w:t>
      </w:r>
      <w:r w:rsidR="003D6B0B">
        <w:rPr>
          <w:rFonts w:ascii="Arial" w:eastAsia="Times New Roman" w:hAnsi="Arial" w:cs="Arial"/>
          <w:sz w:val="20"/>
          <w:szCs w:val="20"/>
          <w:lang w:eastAsia="en-CA"/>
        </w:rPr>
        <w:t xml:space="preserve">November </w:t>
      </w:r>
      <w:r w:rsidR="00D26C1B">
        <w:rPr>
          <w:rFonts w:ascii="Arial" w:eastAsia="Times New Roman" w:hAnsi="Arial" w:cs="Arial"/>
          <w:sz w:val="20"/>
          <w:szCs w:val="20"/>
          <w:lang w:eastAsia="en-CA"/>
        </w:rPr>
        <w:t>27</w:t>
      </w:r>
      <w:r w:rsidR="003D6B0B">
        <w:rPr>
          <w:rFonts w:ascii="Arial" w:eastAsia="Times New Roman" w:hAnsi="Arial" w:cs="Arial"/>
          <w:sz w:val="20"/>
          <w:szCs w:val="20"/>
          <w:lang w:eastAsia="en-CA"/>
        </w:rPr>
        <w:t>, 2014</w:t>
      </w:r>
    </w:p>
    <w:sectPr w:rsidR="002855D3" w:rsidSect="002855D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8186A"/>
    <w:multiLevelType w:val="multilevel"/>
    <w:tmpl w:val="7C4E2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0C689F"/>
    <w:multiLevelType w:val="multilevel"/>
    <w:tmpl w:val="EAB81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D541D8"/>
    <w:multiLevelType w:val="multilevel"/>
    <w:tmpl w:val="67046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445A92"/>
    <w:multiLevelType w:val="multilevel"/>
    <w:tmpl w:val="93F21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6873F4"/>
    <w:multiLevelType w:val="multilevel"/>
    <w:tmpl w:val="3FFAE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4416F5"/>
    <w:multiLevelType w:val="multilevel"/>
    <w:tmpl w:val="E0B41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44F4CF3"/>
    <w:multiLevelType w:val="multilevel"/>
    <w:tmpl w:val="BCA82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B333636"/>
    <w:multiLevelType w:val="multilevel"/>
    <w:tmpl w:val="E8BAD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59570FC"/>
    <w:multiLevelType w:val="hybridMultilevel"/>
    <w:tmpl w:val="B98A76B8"/>
    <w:lvl w:ilvl="0" w:tplc="1009000F">
      <w:start w:val="1"/>
      <w:numFmt w:val="decimal"/>
      <w:lvlText w:val="%1."/>
      <w:lvlJc w:val="left"/>
      <w:pPr>
        <w:ind w:left="720" w:hanging="360"/>
      </w:pPr>
      <w:rPr>
        <w:rFonts w:hint="default"/>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59CB01EC"/>
    <w:multiLevelType w:val="multilevel"/>
    <w:tmpl w:val="EF401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AF11F5E"/>
    <w:multiLevelType w:val="multilevel"/>
    <w:tmpl w:val="32763B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F0E55F2"/>
    <w:multiLevelType w:val="multilevel"/>
    <w:tmpl w:val="F1362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1B05AE5"/>
    <w:multiLevelType w:val="multilevel"/>
    <w:tmpl w:val="B0EA8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7272214"/>
    <w:multiLevelType w:val="multilevel"/>
    <w:tmpl w:val="025AB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B961DAE"/>
    <w:multiLevelType w:val="multilevel"/>
    <w:tmpl w:val="8B781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D052ADF"/>
    <w:multiLevelType w:val="multilevel"/>
    <w:tmpl w:val="D36C7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4C15C4F"/>
    <w:multiLevelType w:val="multilevel"/>
    <w:tmpl w:val="072C6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51566D3"/>
    <w:multiLevelType w:val="multilevel"/>
    <w:tmpl w:val="D114AA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80A78D9"/>
    <w:multiLevelType w:val="hybridMultilevel"/>
    <w:tmpl w:val="E5A23E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7DFD1A02"/>
    <w:multiLevelType w:val="multilevel"/>
    <w:tmpl w:val="F8CE9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5"/>
  </w:num>
  <w:num w:numId="3">
    <w:abstractNumId w:val="11"/>
  </w:num>
  <w:num w:numId="4">
    <w:abstractNumId w:val="9"/>
  </w:num>
  <w:num w:numId="5">
    <w:abstractNumId w:val="7"/>
  </w:num>
  <w:num w:numId="6">
    <w:abstractNumId w:val="12"/>
  </w:num>
  <w:num w:numId="7">
    <w:abstractNumId w:val="1"/>
  </w:num>
  <w:num w:numId="8">
    <w:abstractNumId w:val="19"/>
  </w:num>
  <w:num w:numId="9">
    <w:abstractNumId w:val="2"/>
  </w:num>
  <w:num w:numId="10">
    <w:abstractNumId w:val="6"/>
  </w:num>
  <w:num w:numId="11">
    <w:abstractNumId w:val="3"/>
  </w:num>
  <w:num w:numId="12">
    <w:abstractNumId w:val="17"/>
  </w:num>
  <w:num w:numId="13">
    <w:abstractNumId w:val="10"/>
  </w:num>
  <w:num w:numId="14">
    <w:abstractNumId w:val="14"/>
  </w:num>
  <w:num w:numId="15">
    <w:abstractNumId w:val="5"/>
  </w:num>
  <w:num w:numId="16">
    <w:abstractNumId w:val="4"/>
  </w:num>
  <w:num w:numId="17">
    <w:abstractNumId w:val="16"/>
  </w:num>
  <w:num w:numId="18">
    <w:abstractNumId w:val="0"/>
  </w:num>
  <w:num w:numId="19">
    <w:abstractNumId w:val="18"/>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851613"/>
    <w:rsid w:val="00015E9B"/>
    <w:rsid w:val="00051245"/>
    <w:rsid w:val="000A420F"/>
    <w:rsid w:val="00155701"/>
    <w:rsid w:val="00181DD4"/>
    <w:rsid w:val="00193103"/>
    <w:rsid w:val="001C12AD"/>
    <w:rsid w:val="00246F06"/>
    <w:rsid w:val="00274EEF"/>
    <w:rsid w:val="002855D3"/>
    <w:rsid w:val="002904EE"/>
    <w:rsid w:val="00352091"/>
    <w:rsid w:val="003717F6"/>
    <w:rsid w:val="00382492"/>
    <w:rsid w:val="003D6B0B"/>
    <w:rsid w:val="00413D5D"/>
    <w:rsid w:val="00470A52"/>
    <w:rsid w:val="004F636E"/>
    <w:rsid w:val="00547675"/>
    <w:rsid w:val="005B1F5C"/>
    <w:rsid w:val="005C0023"/>
    <w:rsid w:val="005E612B"/>
    <w:rsid w:val="005F1A53"/>
    <w:rsid w:val="006413BA"/>
    <w:rsid w:val="00645D58"/>
    <w:rsid w:val="006943EF"/>
    <w:rsid w:val="00715A9A"/>
    <w:rsid w:val="00717CAA"/>
    <w:rsid w:val="007F5DC5"/>
    <w:rsid w:val="00851613"/>
    <w:rsid w:val="008556DD"/>
    <w:rsid w:val="00873EEC"/>
    <w:rsid w:val="008F083A"/>
    <w:rsid w:val="0098785E"/>
    <w:rsid w:val="00A42C1F"/>
    <w:rsid w:val="00AB3D25"/>
    <w:rsid w:val="00AF7D9E"/>
    <w:rsid w:val="00B52081"/>
    <w:rsid w:val="00BA2DD5"/>
    <w:rsid w:val="00BC1A45"/>
    <w:rsid w:val="00BE1FFB"/>
    <w:rsid w:val="00D011F3"/>
    <w:rsid w:val="00D26C1B"/>
    <w:rsid w:val="00DB6F82"/>
    <w:rsid w:val="00DE052E"/>
    <w:rsid w:val="00E37E67"/>
    <w:rsid w:val="00E739F5"/>
    <w:rsid w:val="00F60798"/>
    <w:rsid w:val="00F8213F"/>
    <w:rsid w:val="00F97433"/>
    <w:rsid w:val="00FC39BE"/>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5D3"/>
  </w:style>
  <w:style w:type="paragraph" w:styleId="Heading2">
    <w:name w:val="heading 2"/>
    <w:basedOn w:val="Normal"/>
    <w:link w:val="Heading2Char"/>
    <w:uiPriority w:val="9"/>
    <w:qFormat/>
    <w:rsid w:val="00851613"/>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link w:val="Heading3Char"/>
    <w:uiPriority w:val="9"/>
    <w:qFormat/>
    <w:rsid w:val="00851613"/>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BHUReports">
    <w:name w:val="GBHU Reports"/>
    <w:basedOn w:val="TableNormal"/>
    <w:uiPriority w:val="99"/>
    <w:qFormat/>
    <w:rsid w:val="005F1A53"/>
    <w:pPr>
      <w:spacing w:after="0" w:line="240" w:lineRule="auto"/>
    </w:pPr>
    <w:rPr>
      <w:rFonts w:eastAsiaTheme="minorEastAsia"/>
      <w:color w:val="1F497D" w:themeColor="text2"/>
      <w:sz w:val="20"/>
      <w:szCs w:val="20"/>
      <w:lang w:eastAsia="en-CA"/>
    </w:rPr>
    <w:tblPr>
      <w:tblStyleRowBandSize w:val="1"/>
      <w:tblStyleColBandSize w:val="1"/>
      <w:tblInd w:w="0" w:type="dxa"/>
      <w:tblBorders>
        <w:top w:val="single" w:sz="4" w:space="0" w:color="18700F"/>
      </w:tblBorders>
      <w:tblCellMar>
        <w:top w:w="0" w:type="dxa"/>
        <w:left w:w="108" w:type="dxa"/>
        <w:bottom w:w="0" w:type="dxa"/>
        <w:right w:w="108" w:type="dxa"/>
      </w:tblCellMar>
    </w:tblPr>
    <w:tcPr>
      <w:shd w:val="clear" w:color="auto" w:fill="FFFFFF" w:themeFill="background1"/>
    </w:tcPr>
    <w:tblStylePr w:type="firstRow">
      <w:pPr>
        <w:spacing w:before="0" w:after="0" w:line="240" w:lineRule="auto"/>
      </w:pPr>
      <w:rPr>
        <w:rFonts w:asciiTheme="minorHAnsi" w:hAnsiTheme="minorHAnsi"/>
        <w:b/>
        <w:bCs/>
        <w:sz w:val="20"/>
      </w:rPr>
      <w:tblPr/>
      <w:tcPr>
        <w:tcBorders>
          <w:top w:val="single" w:sz="4" w:space="0" w:color="18700F"/>
          <w:left w:val="nil"/>
          <w:bottom w:val="single" w:sz="4" w:space="0" w:color="18700F"/>
          <w:right w:val="nil"/>
          <w:insideH w:val="nil"/>
          <w:insideV w:val="nil"/>
        </w:tcBorders>
        <w:shd w:val="clear" w:color="auto" w:fill="FFFFFF" w:themeFill="background1"/>
      </w:tcPr>
    </w:tblStylePr>
    <w:tblStylePr w:type="lastRow">
      <w:pPr>
        <w:spacing w:before="0" w:after="0" w:line="240" w:lineRule="auto"/>
      </w:pPr>
      <w:rPr>
        <w:rFonts w:asciiTheme="minorHAnsi" w:hAnsiTheme="minorHAnsi"/>
        <w:b/>
        <w:bCs/>
        <w:sz w:val="20"/>
      </w:rPr>
      <w:tblPr/>
      <w:tcPr>
        <w:tcBorders>
          <w:top w:val="single" w:sz="4" w:space="0" w:color="18700F"/>
          <w:left w:val="nil"/>
          <w:bottom w:val="single" w:sz="4" w:space="0" w:color="18700F"/>
          <w:right w:val="nil"/>
          <w:insideH w:val="nil"/>
          <w:insideV w:val="nil"/>
        </w:tcBorders>
        <w:shd w:val="clear" w:color="auto" w:fill="FFFFFF" w:themeFill="background1"/>
      </w:tcPr>
    </w:tblStylePr>
    <w:tblStylePr w:type="firstCol">
      <w:rPr>
        <w:rFonts w:asciiTheme="minorHAnsi" w:hAnsiTheme="minorHAnsi"/>
        <w:b/>
        <w:bCs/>
        <w:sz w:val="20"/>
      </w:rPr>
    </w:tblStylePr>
    <w:tblStylePr w:type="lastCol">
      <w:rPr>
        <w:rFonts w:asciiTheme="minorHAnsi" w:hAnsiTheme="minorHAnsi"/>
        <w:b/>
        <w:bCs/>
        <w:sz w:val="20"/>
      </w:rPr>
    </w:tblStylePr>
    <w:tblStylePr w:type="band1Vert">
      <w:tblPr/>
      <w:tcPr>
        <w:tcBorders>
          <w:left w:val="nil"/>
          <w:right w:val="nil"/>
          <w:insideH w:val="nil"/>
          <w:insideV w:val="nil"/>
        </w:tcBorders>
        <w:shd w:val="clear" w:color="auto" w:fill="C6D9F1" w:themeFill="text2" w:themeFillTint="33"/>
      </w:tcPr>
    </w:tblStylePr>
    <w:tblStylePr w:type="band1Horz">
      <w:tblPr/>
      <w:tcPr>
        <w:tcBorders>
          <w:left w:val="nil"/>
          <w:right w:val="nil"/>
          <w:insideH w:val="nil"/>
          <w:insideV w:val="nil"/>
        </w:tcBorders>
        <w:shd w:val="clear" w:color="auto" w:fill="DBE5F1" w:themeFill="accent1" w:themeFillTint="33"/>
      </w:tcPr>
    </w:tblStylePr>
  </w:style>
  <w:style w:type="table" w:styleId="LightShading-Accent1">
    <w:name w:val="Light Shading Accent 1"/>
    <w:basedOn w:val="TableNormal"/>
    <w:uiPriority w:val="60"/>
    <w:rsid w:val="00645D58"/>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Caption">
    <w:name w:val="caption"/>
    <w:basedOn w:val="Normal"/>
    <w:next w:val="Normal"/>
    <w:uiPriority w:val="35"/>
    <w:unhideWhenUsed/>
    <w:qFormat/>
    <w:rsid w:val="00193103"/>
    <w:pPr>
      <w:keepNext/>
      <w:spacing w:after="0" w:line="240" w:lineRule="auto"/>
      <w:jc w:val="center"/>
    </w:pPr>
    <w:rPr>
      <w:rFonts w:eastAsiaTheme="minorEastAsia"/>
      <w:b/>
      <w:bCs/>
      <w:color w:val="B07F00"/>
      <w:sz w:val="18"/>
      <w:szCs w:val="18"/>
      <w:lang w:val="en-US" w:bidi="en-US"/>
    </w:rPr>
  </w:style>
  <w:style w:type="character" w:customStyle="1" w:styleId="Heading2Char">
    <w:name w:val="Heading 2 Char"/>
    <w:basedOn w:val="DefaultParagraphFont"/>
    <w:link w:val="Heading2"/>
    <w:uiPriority w:val="9"/>
    <w:rsid w:val="00851613"/>
    <w:rPr>
      <w:rFonts w:ascii="Times New Roman" w:eastAsia="Times New Roman" w:hAnsi="Times New Roman" w:cs="Times New Roman"/>
      <w:b/>
      <w:bCs/>
      <w:sz w:val="36"/>
      <w:szCs w:val="36"/>
      <w:lang w:eastAsia="en-CA"/>
    </w:rPr>
  </w:style>
  <w:style w:type="character" w:customStyle="1" w:styleId="Heading3Char">
    <w:name w:val="Heading 3 Char"/>
    <w:basedOn w:val="DefaultParagraphFont"/>
    <w:link w:val="Heading3"/>
    <w:uiPriority w:val="9"/>
    <w:rsid w:val="00851613"/>
    <w:rPr>
      <w:rFonts w:ascii="Times New Roman" w:eastAsia="Times New Roman" w:hAnsi="Times New Roman" w:cs="Times New Roman"/>
      <w:b/>
      <w:bCs/>
      <w:sz w:val="27"/>
      <w:szCs w:val="27"/>
      <w:lang w:eastAsia="en-CA"/>
    </w:rPr>
  </w:style>
  <w:style w:type="character" w:styleId="Hyperlink">
    <w:name w:val="Hyperlink"/>
    <w:basedOn w:val="DefaultParagraphFont"/>
    <w:uiPriority w:val="99"/>
    <w:unhideWhenUsed/>
    <w:rsid w:val="00851613"/>
    <w:rPr>
      <w:rFonts w:ascii="Arial" w:hAnsi="Arial" w:cs="Arial" w:hint="default"/>
      <w:strike w:val="0"/>
      <w:dstrike w:val="0"/>
      <w:color w:val="0099CC"/>
      <w:sz w:val="20"/>
      <w:szCs w:val="20"/>
      <w:u w:val="none"/>
      <w:effect w:val="none"/>
    </w:rPr>
  </w:style>
  <w:style w:type="paragraph" w:styleId="NormalWeb">
    <w:name w:val="Normal (Web)"/>
    <w:basedOn w:val="Normal"/>
    <w:uiPriority w:val="99"/>
    <w:unhideWhenUsed/>
    <w:rsid w:val="0085161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851613"/>
    <w:rPr>
      <w:b/>
      <w:bCs/>
    </w:rPr>
  </w:style>
  <w:style w:type="character" w:styleId="Emphasis">
    <w:name w:val="Emphasis"/>
    <w:basedOn w:val="DefaultParagraphFont"/>
    <w:uiPriority w:val="20"/>
    <w:qFormat/>
    <w:rsid w:val="00851613"/>
    <w:rPr>
      <w:i/>
      <w:iCs/>
    </w:rPr>
  </w:style>
  <w:style w:type="paragraph" w:styleId="ListParagraph">
    <w:name w:val="List Paragraph"/>
    <w:basedOn w:val="Normal"/>
    <w:uiPriority w:val="34"/>
    <w:qFormat/>
    <w:rsid w:val="00A42C1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pheo.ca/index.php?pid=125" TargetMode="External"/><Relationship Id="rId13" Type="http://schemas.openxmlformats.org/officeDocument/2006/relationships/hyperlink" Target="http://www.apheo.ca/index.php?pid=125" TargetMode="External"/><Relationship Id="rId18" Type="http://schemas.openxmlformats.org/officeDocument/2006/relationships/hyperlink" Target="http://www.apheo.ca/index.php?pid=125" TargetMode="External"/><Relationship Id="rId26" Type="http://schemas.openxmlformats.org/officeDocument/2006/relationships/hyperlink" Target="http://www.apheo.ca/index.php?pid=201" TargetMode="External"/><Relationship Id="rId3" Type="http://schemas.openxmlformats.org/officeDocument/2006/relationships/settings" Target="settings.xml"/><Relationship Id="rId21" Type="http://schemas.openxmlformats.org/officeDocument/2006/relationships/hyperlink" Target="http://www.apheo.ca/index.php?pid=125" TargetMode="External"/><Relationship Id="rId7" Type="http://schemas.openxmlformats.org/officeDocument/2006/relationships/hyperlink" Target="http://www.apheo.ca/index.php?pid=125" TargetMode="External"/><Relationship Id="rId12" Type="http://schemas.openxmlformats.org/officeDocument/2006/relationships/hyperlink" Target="http://www.apheo.ca/index.php?pid=125" TargetMode="External"/><Relationship Id="rId17" Type="http://schemas.openxmlformats.org/officeDocument/2006/relationships/hyperlink" Target="http://www.apheo.ca/index.php?pid=125" TargetMode="External"/><Relationship Id="rId25" Type="http://schemas.openxmlformats.org/officeDocument/2006/relationships/hyperlink" Target="http://www.statcan.gc.ca/start-debut-eng.html" TargetMode="External"/><Relationship Id="rId2" Type="http://schemas.openxmlformats.org/officeDocument/2006/relationships/styles" Target="styles.xml"/><Relationship Id="rId16" Type="http://schemas.openxmlformats.org/officeDocument/2006/relationships/hyperlink" Target="http://www.apheo.ca/index.php?pid=125" TargetMode="External"/><Relationship Id="rId20" Type="http://schemas.openxmlformats.org/officeDocument/2006/relationships/hyperlink" Target="http://www.apheo.ca/index.php?pid=125" TargetMode="External"/><Relationship Id="rId29" Type="http://schemas.openxmlformats.org/officeDocument/2006/relationships/hyperlink" Target="http://www.apheo.ca/index.php?pid=186" TargetMode="External"/><Relationship Id="rId1" Type="http://schemas.openxmlformats.org/officeDocument/2006/relationships/numbering" Target="numbering.xml"/><Relationship Id="rId6" Type="http://schemas.openxmlformats.org/officeDocument/2006/relationships/hyperlink" Target="http://www.apheo.ca/index.php?pid=125" TargetMode="External"/><Relationship Id="rId11" Type="http://schemas.openxmlformats.org/officeDocument/2006/relationships/hyperlink" Target="http://www.apheo.ca/index.php?pid=125" TargetMode="External"/><Relationship Id="rId24" Type="http://schemas.openxmlformats.org/officeDocument/2006/relationships/hyperlink" Target="http://www.ontario.ca/publichealthstandards" TargetMode="External"/><Relationship Id="rId32" Type="http://schemas.openxmlformats.org/officeDocument/2006/relationships/theme" Target="theme/theme1.xml"/><Relationship Id="rId5" Type="http://schemas.openxmlformats.org/officeDocument/2006/relationships/hyperlink" Target="http://www.apheo.ca/index.php?pid=125" TargetMode="External"/><Relationship Id="rId15" Type="http://schemas.openxmlformats.org/officeDocument/2006/relationships/hyperlink" Target="http://www.apheo.ca/index.php?pid=125" TargetMode="External"/><Relationship Id="rId23" Type="http://schemas.openxmlformats.org/officeDocument/2006/relationships/hyperlink" Target="http://www.apheo.ca/index.php?pid=125" TargetMode="External"/><Relationship Id="rId28" Type="http://schemas.openxmlformats.org/officeDocument/2006/relationships/hyperlink" Target="http://www.statcan.gc.ca/imdb-bmdi/document/3226_D16_T9_V1-eng.pdf" TargetMode="External"/><Relationship Id="rId10" Type="http://schemas.openxmlformats.org/officeDocument/2006/relationships/hyperlink" Target="http://www.apheo.ca/index.php?pid=125" TargetMode="External"/><Relationship Id="rId19" Type="http://schemas.openxmlformats.org/officeDocument/2006/relationships/hyperlink" Target="http://www.apheo.ca/index.php?pid=125"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pheo.ca/index.php?pid=125" TargetMode="External"/><Relationship Id="rId14" Type="http://schemas.openxmlformats.org/officeDocument/2006/relationships/hyperlink" Target="http://www.apheo.ca/index.php?pid=125" TargetMode="External"/><Relationship Id="rId22" Type="http://schemas.openxmlformats.org/officeDocument/2006/relationships/hyperlink" Target="http://www.apheo.ca/index.php?pid=125" TargetMode="External"/><Relationship Id="rId27" Type="http://schemas.openxmlformats.org/officeDocument/2006/relationships/hyperlink" Target="http://www.apheo.ca/index.php?pid=184" TargetMode="External"/><Relationship Id="rId30" Type="http://schemas.openxmlformats.org/officeDocument/2006/relationships/hyperlink" Target="http://www.thecanadianfac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5</Pages>
  <Words>2097</Words>
  <Characters>11957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Public Health</Company>
  <LinksUpToDate>false</LinksUpToDate>
  <CharactersWithSpaces>14026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Mcfarland</dc:creator>
  <cp:lastModifiedBy>Virginia Mcfarland</cp:lastModifiedBy>
  <cp:revision>7</cp:revision>
  <dcterms:created xsi:type="dcterms:W3CDTF">2014-11-14T14:05:00Z</dcterms:created>
  <dcterms:modified xsi:type="dcterms:W3CDTF">2014-11-27T16:56:00Z</dcterms:modified>
</cp:coreProperties>
</file>