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55" w:rsidRPr="00D62D02" w:rsidRDefault="004E1755" w:rsidP="00802A89">
      <w:pPr>
        <w:rPr>
          <w:b/>
          <w:color w:val="0000FF"/>
          <w:sz w:val="28"/>
          <w:szCs w:val="28"/>
        </w:rPr>
      </w:pPr>
      <w:bookmarkStart w:id="0" w:name="OLE_LINK1"/>
      <w:bookmarkStart w:id="1" w:name="OLE_LINK2"/>
      <w:r w:rsidRPr="00D62D02">
        <w:rPr>
          <w:b/>
          <w:color w:val="0000FF"/>
          <w:sz w:val="28"/>
          <w:szCs w:val="28"/>
        </w:rPr>
        <w:t>Core Indicators for Public Health in Ontario</w:t>
      </w:r>
    </w:p>
    <w:p w:rsidR="005208D0" w:rsidRPr="00802A89" w:rsidRDefault="0051042A" w:rsidP="00802A89">
      <w:pPr>
        <w:rPr>
          <w:rStyle w:val="SubtleEmphasis"/>
          <w:b/>
        </w:rPr>
      </w:pPr>
      <w:r w:rsidRPr="00802A89">
        <w:rPr>
          <w:b/>
        </w:rPr>
        <w:t>Core Indicators Work Group</w:t>
      </w:r>
      <w:r w:rsidR="001B5CD4" w:rsidRPr="00802A89">
        <w:rPr>
          <w:b/>
        </w:rPr>
        <w:t>:</w:t>
      </w:r>
      <w:r w:rsidRPr="00802A89">
        <w:rPr>
          <w:b/>
        </w:rPr>
        <w:t xml:space="preserve"> </w:t>
      </w:r>
      <w:r w:rsidR="001B5CD4" w:rsidRPr="00802A89">
        <w:rPr>
          <w:b/>
        </w:rPr>
        <w:t xml:space="preserve"> Social Determinants of Health Subgroup</w:t>
      </w:r>
      <w:bookmarkEnd w:id="0"/>
      <w:bookmarkEnd w:id="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7"/>
        <w:gridCol w:w="8331"/>
      </w:tblGrid>
      <w:tr w:rsidR="000F0024" w:rsidTr="00D62D02">
        <w:tc>
          <w:tcPr>
            <w:tcW w:w="1137" w:type="dxa"/>
          </w:tcPr>
          <w:p w:rsidR="000F0024" w:rsidRDefault="000F0024" w:rsidP="0096217A">
            <w:pPr>
              <w:pStyle w:val="NoSpacing"/>
            </w:pPr>
            <w:r>
              <w:t>Date</w:t>
            </w:r>
          </w:p>
        </w:tc>
        <w:tc>
          <w:tcPr>
            <w:tcW w:w="8331" w:type="dxa"/>
          </w:tcPr>
          <w:p w:rsidR="000F0024" w:rsidRDefault="000F0024" w:rsidP="0096217A">
            <w:pPr>
              <w:pStyle w:val="NoSpacing"/>
            </w:pPr>
            <w:r w:rsidRPr="00E55BBB">
              <w:t>Wednesday, February 27, 2013</w:t>
            </w:r>
          </w:p>
        </w:tc>
      </w:tr>
      <w:tr w:rsidR="000F0024" w:rsidTr="00D62D02">
        <w:tc>
          <w:tcPr>
            <w:tcW w:w="1137" w:type="dxa"/>
          </w:tcPr>
          <w:p w:rsidR="000F0024" w:rsidRDefault="000F0024" w:rsidP="0096217A">
            <w:pPr>
              <w:pStyle w:val="NoSpacing"/>
            </w:pPr>
            <w:r w:rsidRPr="00E55BBB">
              <w:t>Location</w:t>
            </w:r>
          </w:p>
        </w:tc>
        <w:tc>
          <w:tcPr>
            <w:tcW w:w="8331" w:type="dxa"/>
          </w:tcPr>
          <w:p w:rsidR="000F0024" w:rsidRDefault="000F0024" w:rsidP="0096217A">
            <w:pPr>
              <w:pStyle w:val="NoSpacing"/>
            </w:pPr>
            <w:r w:rsidRPr="00E55BBB">
              <w:t>Teleconference</w:t>
            </w:r>
          </w:p>
        </w:tc>
      </w:tr>
      <w:tr w:rsidR="000F0024" w:rsidTr="00D62D02">
        <w:tc>
          <w:tcPr>
            <w:tcW w:w="1137" w:type="dxa"/>
          </w:tcPr>
          <w:p w:rsidR="000F0024" w:rsidRDefault="000F0024" w:rsidP="0096217A">
            <w:pPr>
              <w:pStyle w:val="NoSpacing"/>
            </w:pPr>
            <w:r w:rsidRPr="00E55BBB">
              <w:t>Recorder</w:t>
            </w:r>
          </w:p>
        </w:tc>
        <w:tc>
          <w:tcPr>
            <w:tcW w:w="8331" w:type="dxa"/>
          </w:tcPr>
          <w:p w:rsidR="000F0024" w:rsidRDefault="000F0024" w:rsidP="0096217A">
            <w:pPr>
              <w:pStyle w:val="NoSpacing"/>
            </w:pPr>
            <w:r w:rsidRPr="00E55BBB">
              <w:t>Virginia (Ginny) McFarland</w:t>
            </w:r>
          </w:p>
        </w:tc>
      </w:tr>
      <w:tr w:rsidR="000F0024" w:rsidTr="00D62D02">
        <w:tc>
          <w:tcPr>
            <w:tcW w:w="1137" w:type="dxa"/>
          </w:tcPr>
          <w:p w:rsidR="000F0024" w:rsidRDefault="000F0024" w:rsidP="0096217A">
            <w:pPr>
              <w:pStyle w:val="NoSpacing"/>
            </w:pPr>
            <w:r w:rsidRPr="00E55BBB">
              <w:t>Chair</w:t>
            </w:r>
          </w:p>
        </w:tc>
        <w:tc>
          <w:tcPr>
            <w:tcW w:w="8331" w:type="dxa"/>
          </w:tcPr>
          <w:p w:rsidR="000F0024" w:rsidRDefault="000F0024" w:rsidP="0096217A">
            <w:pPr>
              <w:pStyle w:val="NoSpacing"/>
            </w:pPr>
            <w:r w:rsidRPr="00E55BBB">
              <w:t>Luanne Jamieson</w:t>
            </w:r>
          </w:p>
        </w:tc>
      </w:tr>
      <w:tr w:rsidR="000F0024" w:rsidTr="00D62D02">
        <w:tc>
          <w:tcPr>
            <w:tcW w:w="1137" w:type="dxa"/>
          </w:tcPr>
          <w:p w:rsidR="000F0024" w:rsidRDefault="000F0024" w:rsidP="0096217A">
            <w:pPr>
              <w:pStyle w:val="NoSpacing"/>
            </w:pPr>
            <w:r w:rsidRPr="00E55BBB">
              <w:t>Attendees</w:t>
            </w:r>
          </w:p>
        </w:tc>
        <w:tc>
          <w:tcPr>
            <w:tcW w:w="8331" w:type="dxa"/>
          </w:tcPr>
          <w:p w:rsidR="000F0024" w:rsidRDefault="000F0024" w:rsidP="0096217A">
            <w:pPr>
              <w:pStyle w:val="NoSpacing"/>
            </w:pPr>
            <w:r w:rsidRPr="00E55BBB">
              <w:t>Natalie Greenidge, William (Bill) Kou, Cameron (Cam) McDermaid</w:t>
            </w:r>
          </w:p>
        </w:tc>
      </w:tr>
      <w:tr w:rsidR="000F0024" w:rsidTr="00D62D02">
        <w:tc>
          <w:tcPr>
            <w:tcW w:w="1137" w:type="dxa"/>
          </w:tcPr>
          <w:p w:rsidR="000F0024" w:rsidRPr="00E55BBB" w:rsidRDefault="000F0024" w:rsidP="0096217A">
            <w:pPr>
              <w:pStyle w:val="NoSpacing"/>
            </w:pPr>
            <w:r w:rsidRPr="00E55BBB">
              <w:t>Regrets</w:t>
            </w:r>
          </w:p>
        </w:tc>
        <w:tc>
          <w:tcPr>
            <w:tcW w:w="8331" w:type="dxa"/>
          </w:tcPr>
          <w:p w:rsidR="000F0024" w:rsidRPr="00E55BBB" w:rsidRDefault="000F0024" w:rsidP="0096217A">
            <w:pPr>
              <w:pStyle w:val="NoSpacing"/>
            </w:pPr>
            <w:r w:rsidRPr="00E55BBB">
              <w:t>Dinna Lozano, Fran Scott</w:t>
            </w:r>
          </w:p>
        </w:tc>
      </w:tr>
    </w:tbl>
    <w:p w:rsidR="00802A89" w:rsidRDefault="00802A89" w:rsidP="00802A89"/>
    <w:p w:rsidR="00744E62" w:rsidRPr="00802A89" w:rsidRDefault="005208D0" w:rsidP="00802A89">
      <w:pPr>
        <w:rPr>
          <w:b/>
        </w:rPr>
      </w:pPr>
      <w:r w:rsidRPr="00802A89">
        <w:rPr>
          <w:b/>
        </w:rPr>
        <w:t>Minutes</w:t>
      </w:r>
    </w:p>
    <w:tbl>
      <w:tblPr>
        <w:tblW w:w="9415" w:type="dxa"/>
        <w:jc w:val="center"/>
        <w:tblInd w:w="-2084" w:type="dxa"/>
        <w:tblLayout w:type="fixed"/>
        <w:tblLook w:val="0620"/>
      </w:tblPr>
      <w:tblGrid>
        <w:gridCol w:w="810"/>
        <w:gridCol w:w="5342"/>
        <w:gridCol w:w="1710"/>
        <w:gridCol w:w="1553"/>
      </w:tblGrid>
      <w:tr w:rsidR="009059AE" w:rsidRPr="00F434A6" w:rsidTr="000F0024">
        <w:trPr>
          <w:jc w:val="center"/>
        </w:trPr>
        <w:tc>
          <w:tcPr>
            <w:tcW w:w="810" w:type="dxa"/>
            <w:vAlign w:val="center"/>
          </w:tcPr>
          <w:p w:rsidR="009059AE" w:rsidRPr="000F0024" w:rsidRDefault="009059AE" w:rsidP="000F0024">
            <w:pPr>
              <w:rPr>
                <w:b/>
              </w:rPr>
            </w:pPr>
            <w:r w:rsidRPr="000F0024">
              <w:rPr>
                <w:b/>
              </w:rPr>
              <w:t xml:space="preserve">No. </w:t>
            </w:r>
          </w:p>
        </w:tc>
        <w:tc>
          <w:tcPr>
            <w:tcW w:w="5342" w:type="dxa"/>
            <w:vAlign w:val="center"/>
          </w:tcPr>
          <w:p w:rsidR="009059AE" w:rsidRPr="000F0024" w:rsidRDefault="009059AE" w:rsidP="000F0024">
            <w:pPr>
              <w:rPr>
                <w:b/>
              </w:rPr>
            </w:pPr>
            <w:r w:rsidRPr="000F0024">
              <w:rPr>
                <w:b/>
              </w:rPr>
              <w:t>Item</w:t>
            </w:r>
          </w:p>
        </w:tc>
        <w:tc>
          <w:tcPr>
            <w:tcW w:w="1710" w:type="dxa"/>
            <w:vAlign w:val="center"/>
          </w:tcPr>
          <w:p w:rsidR="009059AE" w:rsidRPr="000F0024" w:rsidRDefault="0074739B" w:rsidP="000F0024">
            <w:pPr>
              <w:rPr>
                <w:b/>
              </w:rPr>
            </w:pPr>
            <w:r w:rsidRPr="000F0024">
              <w:rPr>
                <w:b/>
              </w:rPr>
              <w:t>Action Item</w:t>
            </w:r>
          </w:p>
        </w:tc>
        <w:tc>
          <w:tcPr>
            <w:tcW w:w="1553" w:type="dxa"/>
          </w:tcPr>
          <w:p w:rsidR="009059AE" w:rsidRPr="000F0024" w:rsidRDefault="00983357" w:rsidP="000F0024">
            <w:pPr>
              <w:rPr>
                <w:b/>
              </w:rPr>
            </w:pPr>
            <w:r w:rsidRPr="000F0024">
              <w:rPr>
                <w:b/>
              </w:rPr>
              <w:t>Follow up</w:t>
            </w:r>
          </w:p>
        </w:tc>
      </w:tr>
      <w:tr w:rsidR="009059AE" w:rsidRPr="00F434A6" w:rsidTr="000F0024">
        <w:trPr>
          <w:jc w:val="center"/>
        </w:trPr>
        <w:tc>
          <w:tcPr>
            <w:tcW w:w="810" w:type="dxa"/>
          </w:tcPr>
          <w:p w:rsidR="009059AE" w:rsidRPr="0096217A" w:rsidRDefault="009059AE" w:rsidP="000F0024">
            <w:pPr>
              <w:rPr>
                <w:b/>
              </w:rPr>
            </w:pPr>
            <w:r w:rsidRPr="0096217A">
              <w:rPr>
                <w:b/>
              </w:rPr>
              <w:t>1.0</w:t>
            </w:r>
          </w:p>
        </w:tc>
        <w:tc>
          <w:tcPr>
            <w:tcW w:w="5342" w:type="dxa"/>
          </w:tcPr>
          <w:p w:rsidR="009059AE" w:rsidRPr="0096217A" w:rsidRDefault="009059AE" w:rsidP="000F0024">
            <w:pPr>
              <w:rPr>
                <w:b/>
              </w:rPr>
            </w:pPr>
            <w:r w:rsidRPr="0096217A">
              <w:rPr>
                <w:b/>
              </w:rPr>
              <w:t>Review of the Agenda</w:t>
            </w:r>
          </w:p>
        </w:tc>
        <w:tc>
          <w:tcPr>
            <w:tcW w:w="1710" w:type="dxa"/>
          </w:tcPr>
          <w:p w:rsidR="009059AE" w:rsidRPr="00F434A6" w:rsidRDefault="009136B9" w:rsidP="000F0024">
            <w:r>
              <w:t>All</w:t>
            </w:r>
          </w:p>
        </w:tc>
        <w:tc>
          <w:tcPr>
            <w:tcW w:w="1553" w:type="dxa"/>
          </w:tcPr>
          <w:p w:rsidR="009059AE" w:rsidRPr="00F434A6" w:rsidRDefault="009136B9" w:rsidP="000F0024">
            <w:r>
              <w:t>No changes.</w:t>
            </w:r>
          </w:p>
        </w:tc>
      </w:tr>
      <w:tr w:rsidR="009059AE" w:rsidRPr="00F434A6" w:rsidTr="000F0024">
        <w:trPr>
          <w:trHeight w:val="630"/>
          <w:jc w:val="center"/>
        </w:trPr>
        <w:tc>
          <w:tcPr>
            <w:tcW w:w="810" w:type="dxa"/>
          </w:tcPr>
          <w:p w:rsidR="009059AE" w:rsidRPr="0096217A" w:rsidRDefault="009059AE" w:rsidP="000F0024">
            <w:pPr>
              <w:rPr>
                <w:b/>
              </w:rPr>
            </w:pPr>
            <w:r w:rsidRPr="0096217A">
              <w:rPr>
                <w:b/>
              </w:rPr>
              <w:t xml:space="preserve">2.0 </w:t>
            </w:r>
          </w:p>
        </w:tc>
        <w:tc>
          <w:tcPr>
            <w:tcW w:w="5342" w:type="dxa"/>
          </w:tcPr>
          <w:p w:rsidR="001B3141" w:rsidRPr="0096217A" w:rsidRDefault="009059AE" w:rsidP="0096217A">
            <w:pPr>
              <w:rPr>
                <w:b/>
              </w:rPr>
            </w:pPr>
            <w:r w:rsidRPr="0096217A">
              <w:rPr>
                <w:b/>
              </w:rPr>
              <w:t>Review of Mi</w:t>
            </w:r>
            <w:r w:rsidR="0096217A" w:rsidRPr="0096217A">
              <w:rPr>
                <w:b/>
              </w:rPr>
              <w:t xml:space="preserve">nutes: </w:t>
            </w:r>
            <w:r w:rsidR="003D7C79" w:rsidRPr="0096217A">
              <w:rPr>
                <w:b/>
              </w:rPr>
              <w:t>January 23, 2013</w:t>
            </w:r>
          </w:p>
        </w:tc>
        <w:tc>
          <w:tcPr>
            <w:tcW w:w="1710" w:type="dxa"/>
          </w:tcPr>
          <w:p w:rsidR="001B3141" w:rsidRPr="00F434A6" w:rsidRDefault="001B3141" w:rsidP="0096217A">
            <w:r>
              <w:t>All</w:t>
            </w:r>
          </w:p>
        </w:tc>
        <w:tc>
          <w:tcPr>
            <w:tcW w:w="1553" w:type="dxa"/>
          </w:tcPr>
          <w:p w:rsidR="009059AE" w:rsidRPr="00F434A6" w:rsidRDefault="00514641" w:rsidP="0096217A">
            <w:r>
              <w:t>Approved</w:t>
            </w:r>
            <w:r w:rsidR="0096217A">
              <w:t>.</w:t>
            </w:r>
          </w:p>
        </w:tc>
      </w:tr>
      <w:tr w:rsidR="00EC17DC" w:rsidRPr="00F434A6" w:rsidTr="000F0024">
        <w:trPr>
          <w:trHeight w:val="930"/>
          <w:jc w:val="center"/>
        </w:trPr>
        <w:tc>
          <w:tcPr>
            <w:tcW w:w="810" w:type="dxa"/>
          </w:tcPr>
          <w:p w:rsidR="00EC17DC" w:rsidRPr="001B3141" w:rsidRDefault="00EC17DC" w:rsidP="00802A89">
            <w:pPr>
              <w:jc w:val="right"/>
            </w:pPr>
            <w:r w:rsidRPr="001B3141">
              <w:t>2.1</w:t>
            </w:r>
          </w:p>
        </w:tc>
        <w:tc>
          <w:tcPr>
            <w:tcW w:w="5342" w:type="dxa"/>
          </w:tcPr>
          <w:p w:rsidR="00EC17DC" w:rsidRDefault="00EC17DC" w:rsidP="000F0024">
            <w:r w:rsidRPr="001B3141">
              <w:t xml:space="preserve">Outstanding items </w:t>
            </w:r>
            <w:r>
              <w:t xml:space="preserve">from 3.1 of </w:t>
            </w:r>
            <w:r w:rsidRPr="001B3141">
              <w:t>Jan</w:t>
            </w:r>
            <w:r>
              <w:t>uary</w:t>
            </w:r>
            <w:r w:rsidRPr="001B3141">
              <w:t xml:space="preserve"> 23</w:t>
            </w:r>
            <w:r>
              <w:t xml:space="preserve">, 2013 minutes.  </w:t>
            </w:r>
          </w:p>
          <w:p w:rsidR="00EC17DC" w:rsidRPr="000F0024" w:rsidRDefault="00BA184D" w:rsidP="000F0024">
            <w:pPr>
              <w:rPr>
                <w:b/>
                <w:u w:val="single"/>
              </w:rPr>
            </w:pPr>
            <w:r w:rsidRPr="000F0024">
              <w:rPr>
                <w:b/>
                <w:u w:val="single"/>
              </w:rPr>
              <w:t>Natalie</w:t>
            </w:r>
          </w:p>
          <w:p w:rsidR="00EC17DC" w:rsidRPr="00EC17DC" w:rsidRDefault="00EC17DC" w:rsidP="000F0024">
            <w:r>
              <w:t xml:space="preserve">Require the following </w:t>
            </w:r>
            <w:bookmarkStart w:id="2" w:name="_GoBack"/>
            <w:bookmarkEnd w:id="2"/>
            <w:r>
              <w:t xml:space="preserve">information to finalize </w:t>
            </w:r>
            <w:proofErr w:type="spellStart"/>
            <w:r>
              <w:t>webpages</w:t>
            </w:r>
            <w:proofErr w:type="spellEnd"/>
            <w:r>
              <w:t xml:space="preserve">: </w:t>
            </w:r>
            <w:r w:rsidRPr="001B3141">
              <w:t xml:space="preserve"> </w:t>
            </w:r>
          </w:p>
        </w:tc>
        <w:tc>
          <w:tcPr>
            <w:tcW w:w="1710" w:type="dxa"/>
          </w:tcPr>
          <w:p w:rsidR="00EC17DC" w:rsidRDefault="00EC17DC" w:rsidP="000F0024"/>
        </w:tc>
        <w:tc>
          <w:tcPr>
            <w:tcW w:w="1553" w:type="dxa"/>
          </w:tcPr>
          <w:p w:rsidR="00EC17DC" w:rsidRDefault="00EC17DC" w:rsidP="000F0024"/>
        </w:tc>
      </w:tr>
      <w:tr w:rsidR="00EC17DC" w:rsidRPr="00F434A6" w:rsidTr="000F0024">
        <w:trPr>
          <w:trHeight w:val="680"/>
          <w:jc w:val="center"/>
        </w:trPr>
        <w:tc>
          <w:tcPr>
            <w:tcW w:w="810" w:type="dxa"/>
            <w:vMerge w:val="restart"/>
          </w:tcPr>
          <w:p w:rsidR="00EC17DC" w:rsidRPr="001B3141" w:rsidRDefault="00EC17DC" w:rsidP="000F0024"/>
        </w:tc>
        <w:tc>
          <w:tcPr>
            <w:tcW w:w="5342" w:type="dxa"/>
          </w:tcPr>
          <w:p w:rsidR="00EC17DC" w:rsidRDefault="00EC17DC" w:rsidP="000F0024">
            <w:proofErr w:type="spellStart"/>
            <w:r>
              <w:t>Labour</w:t>
            </w:r>
            <w:proofErr w:type="spellEnd"/>
            <w:r>
              <w:t xml:space="preserve"> Force Participation Rate will change to </w:t>
            </w:r>
            <w:proofErr w:type="spellStart"/>
            <w:r>
              <w:t>Labour</w:t>
            </w:r>
            <w:proofErr w:type="spellEnd"/>
            <w:r>
              <w:t xml:space="preserve"> Force Indicators. </w:t>
            </w:r>
          </w:p>
        </w:tc>
        <w:tc>
          <w:tcPr>
            <w:tcW w:w="1710" w:type="dxa"/>
          </w:tcPr>
          <w:p w:rsidR="00EC17DC" w:rsidRDefault="00EC17DC" w:rsidP="000F0024">
            <w:r>
              <w:t xml:space="preserve">Natalie </w:t>
            </w:r>
          </w:p>
          <w:p w:rsidR="00FD0433" w:rsidRDefault="00FD0433" w:rsidP="000F0024"/>
        </w:tc>
        <w:tc>
          <w:tcPr>
            <w:tcW w:w="1553" w:type="dxa"/>
          </w:tcPr>
          <w:p w:rsidR="00BA184D" w:rsidRDefault="003B7712" w:rsidP="000F0024">
            <w:r>
              <w:t>Ask Lee</w:t>
            </w:r>
            <w:r w:rsidR="00BA184D">
              <w:t xml:space="preserve"> Sieswerda to change name</w:t>
            </w:r>
          </w:p>
        </w:tc>
      </w:tr>
      <w:tr w:rsidR="00EC17DC" w:rsidRPr="00F434A6" w:rsidTr="0096217A">
        <w:trPr>
          <w:trHeight w:val="1523"/>
          <w:jc w:val="center"/>
        </w:trPr>
        <w:tc>
          <w:tcPr>
            <w:tcW w:w="810" w:type="dxa"/>
            <w:vMerge/>
          </w:tcPr>
          <w:p w:rsidR="00EC17DC" w:rsidRPr="001B3141" w:rsidRDefault="00EC17DC" w:rsidP="000F0024"/>
        </w:tc>
        <w:tc>
          <w:tcPr>
            <w:tcW w:w="5342" w:type="dxa"/>
          </w:tcPr>
          <w:p w:rsidR="00EC17DC" w:rsidRPr="00EC17DC" w:rsidRDefault="00EC17DC" w:rsidP="000F0024">
            <w:proofErr w:type="spellStart"/>
            <w:r>
              <w:t>Labour</w:t>
            </w:r>
            <w:proofErr w:type="spellEnd"/>
            <w:r>
              <w:t xml:space="preserve"> Force Indicators needs an acknowledgements table and a reviewer table.</w:t>
            </w:r>
          </w:p>
          <w:p w:rsidR="003B7712" w:rsidRDefault="003B7712" w:rsidP="000F0024">
            <w:r>
              <w:t xml:space="preserve">Crime rate indicator needs </w:t>
            </w:r>
            <w:proofErr w:type="gramStart"/>
            <w:r>
              <w:t>a changes</w:t>
            </w:r>
            <w:proofErr w:type="gramEnd"/>
            <w:r>
              <w:t xml:space="preserve"> made table and an acknowledgements table. </w:t>
            </w:r>
            <w:proofErr w:type="gramStart"/>
            <w:r>
              <w:t>Criminal code offenses has</w:t>
            </w:r>
            <w:proofErr w:type="gramEnd"/>
            <w:r>
              <w:t xml:space="preserve"> no data source listed. Crime rate links are broken.</w:t>
            </w:r>
          </w:p>
        </w:tc>
        <w:tc>
          <w:tcPr>
            <w:tcW w:w="1710" w:type="dxa"/>
          </w:tcPr>
          <w:p w:rsidR="00EC17DC" w:rsidRDefault="00BA184D" w:rsidP="000F0024">
            <w:r>
              <w:t>Ginny</w:t>
            </w:r>
            <w:r w:rsidR="00EC17DC">
              <w:t xml:space="preserve"> </w:t>
            </w:r>
          </w:p>
          <w:p w:rsidR="00FD0433" w:rsidRDefault="00FD0433" w:rsidP="000F0024"/>
        </w:tc>
        <w:tc>
          <w:tcPr>
            <w:tcW w:w="1553" w:type="dxa"/>
          </w:tcPr>
          <w:p w:rsidR="00EC17DC" w:rsidRDefault="003B7712" w:rsidP="000F0024">
            <w:r>
              <w:t xml:space="preserve">Will update all but crime rate as we wait for information on </w:t>
            </w:r>
            <w:proofErr w:type="spellStart"/>
            <w:r>
              <w:t>sunsetting</w:t>
            </w:r>
            <w:proofErr w:type="spellEnd"/>
            <w:r>
              <w:t>.</w:t>
            </w:r>
          </w:p>
        </w:tc>
      </w:tr>
      <w:tr w:rsidR="00EC17DC" w:rsidRPr="00F434A6" w:rsidTr="0096217A">
        <w:trPr>
          <w:trHeight w:val="470"/>
          <w:jc w:val="center"/>
        </w:trPr>
        <w:tc>
          <w:tcPr>
            <w:tcW w:w="810" w:type="dxa"/>
          </w:tcPr>
          <w:p w:rsidR="00EC17DC" w:rsidRPr="001B3141" w:rsidRDefault="00EC17DC" w:rsidP="000F0024"/>
        </w:tc>
        <w:tc>
          <w:tcPr>
            <w:tcW w:w="5342" w:type="dxa"/>
          </w:tcPr>
          <w:p w:rsidR="00EC17DC" w:rsidRDefault="00EC17DC" w:rsidP="000F0024">
            <w:r>
              <w:t xml:space="preserve">Home Language needs </w:t>
            </w:r>
            <w:proofErr w:type="gramStart"/>
            <w:r>
              <w:t>a changes</w:t>
            </w:r>
            <w:proofErr w:type="gramEnd"/>
            <w:r>
              <w:t xml:space="preserve"> made table and an acknowledgements table.</w:t>
            </w:r>
          </w:p>
        </w:tc>
        <w:tc>
          <w:tcPr>
            <w:tcW w:w="1710" w:type="dxa"/>
          </w:tcPr>
          <w:p w:rsidR="00EC17DC" w:rsidRDefault="003B7712" w:rsidP="0096217A">
            <w:r>
              <w:t>Bill</w:t>
            </w:r>
          </w:p>
          <w:p w:rsidR="00FD0433" w:rsidRDefault="00FD0433" w:rsidP="00FD0433"/>
        </w:tc>
        <w:tc>
          <w:tcPr>
            <w:tcW w:w="1553" w:type="dxa"/>
          </w:tcPr>
          <w:p w:rsidR="00EC17DC" w:rsidRDefault="003B7712" w:rsidP="000F0024">
            <w:r>
              <w:t>Will update</w:t>
            </w:r>
          </w:p>
        </w:tc>
      </w:tr>
      <w:tr w:rsidR="00EC17DC" w:rsidRPr="00F434A6" w:rsidTr="0096217A">
        <w:trPr>
          <w:trHeight w:val="399"/>
          <w:jc w:val="center"/>
        </w:trPr>
        <w:tc>
          <w:tcPr>
            <w:tcW w:w="810" w:type="dxa"/>
          </w:tcPr>
          <w:p w:rsidR="00EC17DC" w:rsidRPr="001B3141" w:rsidRDefault="00EC17DC" w:rsidP="000F0024"/>
        </w:tc>
        <w:tc>
          <w:tcPr>
            <w:tcW w:w="5342" w:type="dxa"/>
          </w:tcPr>
          <w:p w:rsidR="00EC17DC" w:rsidRPr="006F6611" w:rsidRDefault="003B7712" w:rsidP="000F0024">
            <w:r>
              <w:t xml:space="preserve">Housing affordability requires a reviewer table. </w:t>
            </w:r>
          </w:p>
        </w:tc>
        <w:tc>
          <w:tcPr>
            <w:tcW w:w="1710" w:type="dxa"/>
          </w:tcPr>
          <w:p w:rsidR="00EC17DC" w:rsidRDefault="003B7712" w:rsidP="000F0024">
            <w:r>
              <w:t>Cam</w:t>
            </w:r>
          </w:p>
        </w:tc>
        <w:tc>
          <w:tcPr>
            <w:tcW w:w="1553" w:type="dxa"/>
          </w:tcPr>
          <w:p w:rsidR="00EC17DC" w:rsidRDefault="003B7712" w:rsidP="000F0024">
            <w:r>
              <w:t>Will update</w:t>
            </w:r>
          </w:p>
        </w:tc>
      </w:tr>
    </w:tbl>
    <w:p w:rsidR="0096217A" w:rsidRDefault="0096217A">
      <w:r>
        <w:br w:type="page"/>
      </w:r>
    </w:p>
    <w:tbl>
      <w:tblPr>
        <w:tblW w:w="9415" w:type="dxa"/>
        <w:jc w:val="center"/>
        <w:tblInd w:w="-2084" w:type="dxa"/>
        <w:tblLayout w:type="fixed"/>
        <w:tblLook w:val="0620"/>
      </w:tblPr>
      <w:tblGrid>
        <w:gridCol w:w="810"/>
        <w:gridCol w:w="5342"/>
        <w:gridCol w:w="1710"/>
        <w:gridCol w:w="1553"/>
      </w:tblGrid>
      <w:tr w:rsidR="00EC17DC" w:rsidRPr="00F434A6" w:rsidTr="0096217A">
        <w:trPr>
          <w:jc w:val="center"/>
        </w:trPr>
        <w:tc>
          <w:tcPr>
            <w:tcW w:w="810" w:type="dxa"/>
          </w:tcPr>
          <w:p w:rsidR="00EC17DC" w:rsidRPr="0096217A" w:rsidRDefault="00EC17DC" w:rsidP="0096217A">
            <w:pPr>
              <w:rPr>
                <w:b/>
              </w:rPr>
            </w:pPr>
            <w:r w:rsidRPr="0096217A">
              <w:rPr>
                <w:b/>
              </w:rPr>
              <w:lastRenderedPageBreak/>
              <w:t>3.0</w:t>
            </w:r>
          </w:p>
        </w:tc>
        <w:tc>
          <w:tcPr>
            <w:tcW w:w="5342" w:type="dxa"/>
          </w:tcPr>
          <w:p w:rsidR="00EC17DC" w:rsidRPr="0096217A" w:rsidRDefault="00EC17DC" w:rsidP="0096217A">
            <w:pPr>
              <w:rPr>
                <w:b/>
              </w:rPr>
            </w:pPr>
            <w:r w:rsidRPr="0096217A">
              <w:rPr>
                <w:b/>
              </w:rPr>
              <w:t>Business Arising</w:t>
            </w:r>
          </w:p>
        </w:tc>
        <w:tc>
          <w:tcPr>
            <w:tcW w:w="1710" w:type="dxa"/>
          </w:tcPr>
          <w:p w:rsidR="00EC17DC" w:rsidRPr="00F434A6" w:rsidRDefault="00EC17DC" w:rsidP="0096217A"/>
        </w:tc>
        <w:tc>
          <w:tcPr>
            <w:tcW w:w="1553" w:type="dxa"/>
          </w:tcPr>
          <w:p w:rsidR="00EC17DC" w:rsidRPr="00F434A6" w:rsidRDefault="00EC17DC" w:rsidP="0096217A">
            <w:r w:rsidRPr="00F434A6">
              <w:t xml:space="preserve"> </w:t>
            </w:r>
          </w:p>
        </w:tc>
      </w:tr>
      <w:tr w:rsidR="00EC17DC" w:rsidRPr="00F434A6" w:rsidTr="0096217A">
        <w:trPr>
          <w:trHeight w:val="735"/>
          <w:jc w:val="center"/>
        </w:trPr>
        <w:tc>
          <w:tcPr>
            <w:tcW w:w="810" w:type="dxa"/>
          </w:tcPr>
          <w:p w:rsidR="00EC17DC" w:rsidRDefault="00EC17DC" w:rsidP="00802A89">
            <w:pPr>
              <w:jc w:val="right"/>
            </w:pPr>
            <w:r>
              <w:t>3.1</w:t>
            </w:r>
          </w:p>
        </w:tc>
        <w:tc>
          <w:tcPr>
            <w:tcW w:w="5342" w:type="dxa"/>
          </w:tcPr>
          <w:p w:rsidR="003B7712" w:rsidRPr="0096217A" w:rsidRDefault="00EC17DC" w:rsidP="0096217A">
            <w:r w:rsidRPr="0096217A">
              <w:t>Feedback on Ethnic/Cultural Origins from external reviewe</w:t>
            </w:r>
            <w:r w:rsidR="003B7712" w:rsidRPr="0096217A">
              <w:t>rs</w:t>
            </w:r>
          </w:p>
          <w:p w:rsidR="003B7712" w:rsidRPr="0096217A" w:rsidRDefault="003B7712" w:rsidP="0096217A">
            <w:pPr>
              <w:rPr>
                <w:b/>
                <w:u w:val="single"/>
              </w:rPr>
            </w:pPr>
            <w:r w:rsidRPr="0096217A">
              <w:rPr>
                <w:b/>
                <w:u w:val="single"/>
              </w:rPr>
              <w:t>Ca</w:t>
            </w:r>
            <w:r w:rsidR="00BA184D" w:rsidRPr="0096217A">
              <w:rPr>
                <w:b/>
                <w:u w:val="single"/>
              </w:rPr>
              <w:t>m</w:t>
            </w:r>
          </w:p>
          <w:p w:rsidR="003B7712" w:rsidRPr="0096217A" w:rsidRDefault="003B7712" w:rsidP="0096217A">
            <w:r w:rsidRPr="0096217A">
              <w:t xml:space="preserve">Some of the comments were about the language of the core portions of the indicators, so these issues may have to go back to CIWG. </w:t>
            </w:r>
          </w:p>
          <w:p w:rsidR="003B7712" w:rsidRPr="0096217A" w:rsidRDefault="003B7712" w:rsidP="0096217A">
            <w:r w:rsidRPr="0096217A">
              <w:sym w:font="Symbol" w:char="F0AE"/>
            </w:r>
            <w:r w:rsidRPr="0096217A">
              <w:t xml:space="preserve"> many concepts of culture and ethnicity floating around, from Census to CCHS to RRFSS</w:t>
            </w:r>
          </w:p>
          <w:p w:rsidR="003B7712" w:rsidRPr="0096217A" w:rsidRDefault="003B7712" w:rsidP="0096217A">
            <w:r w:rsidRPr="0096217A">
              <w:sym w:font="Symbol" w:char="F0AE"/>
            </w:r>
            <w:r w:rsidRPr="0096217A">
              <w:t xml:space="preserve"> </w:t>
            </w:r>
            <w:proofErr w:type="gramStart"/>
            <w:r w:rsidRPr="0096217A">
              <w:t>culture</w:t>
            </w:r>
            <w:proofErr w:type="gramEnd"/>
            <w:r w:rsidRPr="0096217A">
              <w:t xml:space="preserve"> vs. ethnicity—what are we actually measuring/reporting? </w:t>
            </w:r>
          </w:p>
          <w:p w:rsidR="003B7712" w:rsidRPr="0096217A" w:rsidRDefault="003B7712" w:rsidP="0096217A">
            <w:r w:rsidRPr="0096217A">
              <w:sym w:font="Symbol" w:char="F0AE"/>
            </w:r>
            <w:r w:rsidRPr="0096217A">
              <w:t xml:space="preserve"> many of us tend to use language as a proxy for ethnicity/culture in reporting at the health unit level</w:t>
            </w:r>
          </w:p>
          <w:p w:rsidR="003B7712" w:rsidRPr="0096217A" w:rsidRDefault="003B7712" w:rsidP="0096217A">
            <w:r w:rsidRPr="0096217A">
              <w:sym w:font="Symbol" w:char="F0AE"/>
            </w:r>
            <w:r w:rsidRPr="0096217A">
              <w:t xml:space="preserve"> issue with identification as “Canadian” as a response option is discouraged </w:t>
            </w:r>
            <w:r w:rsidR="00BA184D" w:rsidRPr="0096217A">
              <w:t>through the way the question is asked</w:t>
            </w:r>
          </w:p>
          <w:p w:rsidR="00BA184D" w:rsidRPr="0096217A" w:rsidRDefault="00BA184D" w:rsidP="0096217A">
            <w:r w:rsidRPr="0096217A">
              <w:t xml:space="preserve">This might not be a useful indicator on its own, adding ethnic/cultural identity would be useful. </w:t>
            </w:r>
          </w:p>
        </w:tc>
        <w:tc>
          <w:tcPr>
            <w:tcW w:w="1710" w:type="dxa"/>
          </w:tcPr>
          <w:p w:rsidR="00EC17DC" w:rsidRPr="0096217A" w:rsidRDefault="00EC17DC" w:rsidP="0096217A">
            <w:r w:rsidRPr="0096217A">
              <w:t>Cam</w:t>
            </w:r>
          </w:p>
          <w:p w:rsidR="00EC17DC" w:rsidRPr="0096217A" w:rsidRDefault="00EC17DC" w:rsidP="0096217A"/>
          <w:p w:rsidR="00EC17DC" w:rsidRPr="0096217A" w:rsidRDefault="00EC17DC" w:rsidP="0096217A">
            <w:r w:rsidRPr="0096217A">
              <w:t xml:space="preserve"> </w:t>
            </w:r>
          </w:p>
        </w:tc>
        <w:tc>
          <w:tcPr>
            <w:tcW w:w="1553" w:type="dxa"/>
          </w:tcPr>
          <w:p w:rsidR="00EC17DC" w:rsidRPr="0096217A" w:rsidRDefault="00BA184D" w:rsidP="0096217A">
            <w:r w:rsidRPr="0096217A">
              <w:t>Will</w:t>
            </w:r>
            <w:r w:rsidR="00EC17DC" w:rsidRPr="0096217A">
              <w:t xml:space="preserve"> modify this indicator to a collection of indicators as discussed, and will present that for discussion at next meeting.</w:t>
            </w:r>
          </w:p>
        </w:tc>
      </w:tr>
      <w:tr w:rsidR="00EC17DC" w:rsidRPr="00F434A6" w:rsidTr="0096217A">
        <w:trPr>
          <w:jc w:val="center"/>
        </w:trPr>
        <w:tc>
          <w:tcPr>
            <w:tcW w:w="810" w:type="dxa"/>
          </w:tcPr>
          <w:p w:rsidR="00EC17DC" w:rsidRPr="0096217A" w:rsidRDefault="00EC17DC" w:rsidP="0096217A">
            <w:pPr>
              <w:rPr>
                <w:b/>
              </w:rPr>
            </w:pPr>
            <w:r w:rsidRPr="0096217A">
              <w:rPr>
                <w:b/>
              </w:rPr>
              <w:t>4.0</w:t>
            </w:r>
          </w:p>
        </w:tc>
        <w:tc>
          <w:tcPr>
            <w:tcW w:w="5342" w:type="dxa"/>
          </w:tcPr>
          <w:p w:rsidR="00337AAC" w:rsidRPr="0096217A" w:rsidRDefault="00EC17DC" w:rsidP="0096217A">
            <w:pPr>
              <w:rPr>
                <w:b/>
              </w:rPr>
            </w:pPr>
            <w:r w:rsidRPr="0096217A">
              <w:rPr>
                <w:b/>
              </w:rPr>
              <w:t>New Business</w:t>
            </w:r>
          </w:p>
        </w:tc>
        <w:tc>
          <w:tcPr>
            <w:tcW w:w="1710" w:type="dxa"/>
          </w:tcPr>
          <w:p w:rsidR="00EC17DC" w:rsidRPr="0096217A" w:rsidRDefault="00EC17DC" w:rsidP="0096217A">
            <w:pPr>
              <w:rPr>
                <w:szCs w:val="24"/>
              </w:rPr>
            </w:pPr>
          </w:p>
        </w:tc>
        <w:tc>
          <w:tcPr>
            <w:tcW w:w="1553" w:type="dxa"/>
          </w:tcPr>
          <w:p w:rsidR="00EC17DC" w:rsidRPr="0096217A" w:rsidRDefault="00EC17DC" w:rsidP="0096217A">
            <w:pPr>
              <w:rPr>
                <w:szCs w:val="24"/>
              </w:rPr>
            </w:pPr>
          </w:p>
        </w:tc>
      </w:tr>
      <w:tr w:rsidR="00EC17DC" w:rsidRPr="00F434A6" w:rsidTr="0096217A">
        <w:trPr>
          <w:jc w:val="center"/>
        </w:trPr>
        <w:tc>
          <w:tcPr>
            <w:tcW w:w="810" w:type="dxa"/>
          </w:tcPr>
          <w:p w:rsidR="00EC17DC" w:rsidRPr="00F434A6" w:rsidRDefault="00EC17DC" w:rsidP="00802A89">
            <w:pPr>
              <w:jc w:val="right"/>
            </w:pPr>
            <w:r>
              <w:t>4.1</w:t>
            </w:r>
          </w:p>
        </w:tc>
        <w:tc>
          <w:tcPr>
            <w:tcW w:w="5342" w:type="dxa"/>
          </w:tcPr>
          <w:p w:rsidR="00EC17DC" w:rsidRPr="0096217A" w:rsidRDefault="00EC17DC" w:rsidP="0096217A">
            <w:r w:rsidRPr="0096217A">
              <w:t>Feedback from CIWG RE:  Archiving indicators on website</w:t>
            </w:r>
          </w:p>
          <w:p w:rsidR="00BA184D" w:rsidRPr="0096217A" w:rsidRDefault="00BA184D" w:rsidP="0096217A">
            <w:pPr>
              <w:rPr>
                <w:b/>
                <w:u w:val="single"/>
              </w:rPr>
            </w:pPr>
            <w:r w:rsidRPr="0096217A">
              <w:rPr>
                <w:b/>
                <w:u w:val="single"/>
              </w:rPr>
              <w:t>Cam</w:t>
            </w:r>
          </w:p>
          <w:p w:rsidR="00BA184D" w:rsidRPr="0096217A" w:rsidRDefault="00BA184D" w:rsidP="0096217A">
            <w:r w:rsidRPr="0096217A">
              <w:t xml:space="preserve">There is currently no system to archive indicators. </w:t>
            </w:r>
          </w:p>
          <w:p w:rsidR="00BA184D" w:rsidRPr="0096217A" w:rsidRDefault="00BA184D" w:rsidP="0096217A">
            <w:r w:rsidRPr="0096217A">
              <w:t>Most people identified that their workgroup had copies of the indicators, but there is not necessarily a repository of indicators. The decision was perhaps not to have that show on the current website format, but maybe when the new website comes up this could be incorporated.</w:t>
            </w:r>
          </w:p>
          <w:p w:rsidR="00BA184D" w:rsidRPr="0096217A" w:rsidRDefault="00BA184D" w:rsidP="0096217A"/>
        </w:tc>
        <w:tc>
          <w:tcPr>
            <w:tcW w:w="1710" w:type="dxa"/>
          </w:tcPr>
          <w:p w:rsidR="00EC17DC" w:rsidRPr="0096217A" w:rsidRDefault="00BA184D" w:rsidP="0096217A">
            <w:pPr>
              <w:rPr>
                <w:szCs w:val="24"/>
              </w:rPr>
            </w:pPr>
            <w:r w:rsidRPr="0096217A">
              <w:rPr>
                <w:szCs w:val="24"/>
              </w:rPr>
              <w:t>Cam</w:t>
            </w:r>
          </w:p>
        </w:tc>
        <w:tc>
          <w:tcPr>
            <w:tcW w:w="1553" w:type="dxa"/>
          </w:tcPr>
          <w:p w:rsidR="00EC17DC" w:rsidRPr="0096217A" w:rsidRDefault="00BA184D" w:rsidP="0096217A">
            <w:pPr>
              <w:rPr>
                <w:szCs w:val="24"/>
              </w:rPr>
            </w:pPr>
            <w:r w:rsidRPr="0096217A">
              <w:rPr>
                <w:szCs w:val="24"/>
              </w:rPr>
              <w:t>W</w:t>
            </w:r>
            <w:r w:rsidR="00EC17DC" w:rsidRPr="0096217A">
              <w:rPr>
                <w:szCs w:val="24"/>
              </w:rPr>
              <w:t>ill circula</w:t>
            </w:r>
            <w:r w:rsidRPr="0096217A">
              <w:rPr>
                <w:szCs w:val="24"/>
              </w:rPr>
              <w:t>te the CIWG minutes to the group.</w:t>
            </w:r>
          </w:p>
        </w:tc>
      </w:tr>
    </w:tbl>
    <w:p w:rsidR="0096217A" w:rsidRDefault="0096217A">
      <w:r>
        <w:br w:type="page"/>
      </w:r>
    </w:p>
    <w:tbl>
      <w:tblPr>
        <w:tblW w:w="9865" w:type="dxa"/>
        <w:jc w:val="center"/>
        <w:tblInd w:w="-2534" w:type="dxa"/>
        <w:tblLayout w:type="fixed"/>
        <w:tblLook w:val="0000"/>
      </w:tblPr>
      <w:tblGrid>
        <w:gridCol w:w="450"/>
        <w:gridCol w:w="810"/>
        <w:gridCol w:w="5342"/>
        <w:gridCol w:w="1710"/>
        <w:gridCol w:w="1553"/>
      </w:tblGrid>
      <w:tr w:rsidR="00EC17DC" w:rsidRPr="00F434A6" w:rsidTr="00802A89">
        <w:trPr>
          <w:gridBefore w:val="1"/>
          <w:wBefore w:w="450" w:type="dxa"/>
          <w:trHeight w:val="284"/>
          <w:jc w:val="center"/>
        </w:trPr>
        <w:tc>
          <w:tcPr>
            <w:tcW w:w="810" w:type="dxa"/>
          </w:tcPr>
          <w:p w:rsidR="00EC17DC" w:rsidRPr="0096217A" w:rsidRDefault="00EC17DC" w:rsidP="0096217A">
            <w:pPr>
              <w:rPr>
                <w:b/>
              </w:rPr>
            </w:pPr>
            <w:r w:rsidRPr="0096217A">
              <w:rPr>
                <w:b/>
              </w:rPr>
              <w:lastRenderedPageBreak/>
              <w:t>5.0</w:t>
            </w:r>
          </w:p>
        </w:tc>
        <w:tc>
          <w:tcPr>
            <w:tcW w:w="5342" w:type="dxa"/>
          </w:tcPr>
          <w:p w:rsidR="00337AAC" w:rsidRPr="0096217A" w:rsidRDefault="00EC17DC" w:rsidP="0096217A">
            <w:pPr>
              <w:rPr>
                <w:b/>
              </w:rPr>
            </w:pPr>
            <w:r w:rsidRPr="0096217A">
              <w:rPr>
                <w:b/>
              </w:rPr>
              <w:t>Indicator Updates</w:t>
            </w:r>
          </w:p>
        </w:tc>
        <w:tc>
          <w:tcPr>
            <w:tcW w:w="1710" w:type="dxa"/>
          </w:tcPr>
          <w:p w:rsidR="00EC17DC" w:rsidRPr="00F434A6" w:rsidRDefault="00EC17DC" w:rsidP="0096217A">
            <w:pPr>
              <w:rPr>
                <w:rFonts w:ascii="Calibri" w:hAnsi="Calibri" w:cs="Calibri"/>
                <w:szCs w:val="24"/>
              </w:rPr>
            </w:pPr>
          </w:p>
        </w:tc>
        <w:tc>
          <w:tcPr>
            <w:tcW w:w="1553" w:type="dxa"/>
          </w:tcPr>
          <w:p w:rsidR="00EC17DC" w:rsidRPr="00F434A6" w:rsidRDefault="00EC17DC" w:rsidP="0096217A">
            <w:pPr>
              <w:rPr>
                <w:rFonts w:ascii="Calibri" w:hAnsi="Calibri" w:cs="Calibri"/>
                <w:sz w:val="24"/>
                <w:szCs w:val="24"/>
              </w:rPr>
            </w:pPr>
          </w:p>
        </w:tc>
      </w:tr>
      <w:tr w:rsidR="00EC17DC" w:rsidRPr="00F434A6" w:rsidTr="00802A89">
        <w:trPr>
          <w:gridBefore w:val="1"/>
          <w:wBefore w:w="450" w:type="dxa"/>
          <w:trHeight w:val="383"/>
          <w:jc w:val="center"/>
        </w:trPr>
        <w:tc>
          <w:tcPr>
            <w:tcW w:w="810" w:type="dxa"/>
          </w:tcPr>
          <w:p w:rsidR="00EC17DC" w:rsidRPr="00F434A6" w:rsidRDefault="00EC17DC" w:rsidP="00802A89">
            <w:pPr>
              <w:jc w:val="right"/>
            </w:pPr>
            <w:r w:rsidRPr="00F434A6">
              <w:t>5.1</w:t>
            </w:r>
          </w:p>
        </w:tc>
        <w:tc>
          <w:tcPr>
            <w:tcW w:w="5342" w:type="dxa"/>
          </w:tcPr>
          <w:p w:rsidR="00EC17DC" w:rsidRDefault="00EC17DC" w:rsidP="0096217A">
            <w:r w:rsidRPr="00983357">
              <w:t>Income Inequality</w:t>
            </w:r>
          </w:p>
          <w:p w:rsidR="00BA184D" w:rsidRDefault="0096217A" w:rsidP="0096217A">
            <w:pPr>
              <w:rPr>
                <w:b/>
                <w:u w:val="single"/>
              </w:rPr>
            </w:pPr>
            <w:r>
              <w:rPr>
                <w:b/>
                <w:u w:val="single"/>
              </w:rPr>
              <w:t>Luanne</w:t>
            </w:r>
          </w:p>
          <w:p w:rsidR="00BA184D" w:rsidRDefault="00BA184D" w:rsidP="0096217A">
            <w:pPr>
              <w:rPr>
                <w:lang w:val="en-CA"/>
              </w:rPr>
            </w:pPr>
            <w:r>
              <w:rPr>
                <w:lang w:val="en-CA"/>
              </w:rPr>
              <w:t xml:space="preserve">Spoke with </w:t>
            </w:r>
            <w:proofErr w:type="spellStart"/>
            <w:r>
              <w:rPr>
                <w:lang w:val="en-CA"/>
              </w:rPr>
              <w:t>Statscan</w:t>
            </w:r>
            <w:proofErr w:type="spellEnd"/>
            <w:r>
              <w:rPr>
                <w:lang w:val="en-CA"/>
              </w:rPr>
              <w:t xml:space="preserve"> client services and spoke with someone in Income Statistics Division. There have been substantive changes to the website. </w:t>
            </w:r>
          </w:p>
          <w:p w:rsidR="00BA184D" w:rsidRDefault="00BA184D" w:rsidP="0096217A">
            <w:pPr>
              <w:rPr>
                <w:lang w:val="en-CA"/>
              </w:rPr>
            </w:pPr>
            <w:r>
              <w:rPr>
                <w:lang w:val="en-CA"/>
              </w:rPr>
              <w:t xml:space="preserve">Could use SLID, this gentleman provided information about the MBM, LIM, </w:t>
            </w:r>
            <w:proofErr w:type="gramStart"/>
            <w:r>
              <w:rPr>
                <w:lang w:val="en-CA"/>
              </w:rPr>
              <w:t>LICO</w:t>
            </w:r>
            <w:proofErr w:type="gramEnd"/>
            <w:r>
              <w:rPr>
                <w:lang w:val="en-CA"/>
              </w:rPr>
              <w:t xml:space="preserve">. Luanne will be following up with Mike Wilson at U of Ottawa. </w:t>
            </w:r>
          </w:p>
          <w:p w:rsidR="00BA184D" w:rsidRDefault="00BA184D" w:rsidP="0096217A">
            <w:pPr>
              <w:rPr>
                <w:lang w:val="en-CA"/>
              </w:rPr>
            </w:pPr>
            <w:proofErr w:type="spellStart"/>
            <w:r>
              <w:rPr>
                <w:lang w:val="en-CA"/>
              </w:rPr>
              <w:t>Statscan</w:t>
            </w:r>
            <w:proofErr w:type="spellEnd"/>
            <w:r>
              <w:rPr>
                <w:lang w:val="en-CA"/>
              </w:rPr>
              <w:t xml:space="preserve"> does not have a single measure of low income or income inequality, but there are measures that can be used in conjunction with others to provide some context to the income sphere.</w:t>
            </w:r>
          </w:p>
          <w:p w:rsidR="00BA184D" w:rsidRDefault="00BA184D" w:rsidP="0096217A">
            <w:pPr>
              <w:rPr>
                <w:lang w:val="en-CA"/>
              </w:rPr>
            </w:pPr>
            <w:r>
              <w:rPr>
                <w:lang w:val="en-CA"/>
              </w:rPr>
              <w:t xml:space="preserve">There might be measures that could complement these indicators. </w:t>
            </w:r>
          </w:p>
          <w:p w:rsidR="00BA184D" w:rsidRPr="00BA184D" w:rsidRDefault="00BA184D" w:rsidP="0096217A">
            <w:pPr>
              <w:rPr>
                <w:b/>
                <w:u w:val="single"/>
                <w:lang w:val="en-CA"/>
              </w:rPr>
            </w:pPr>
            <w:r>
              <w:rPr>
                <w:b/>
                <w:u w:val="single"/>
                <w:lang w:val="en-CA"/>
              </w:rPr>
              <w:t>Cam</w:t>
            </w:r>
          </w:p>
          <w:p w:rsidR="00BA184D" w:rsidRDefault="00BA184D" w:rsidP="0096217A">
            <w:pPr>
              <w:rPr>
                <w:lang w:val="en-CA"/>
              </w:rPr>
            </w:pPr>
            <w:r>
              <w:rPr>
                <w:lang w:val="en-CA"/>
              </w:rPr>
              <w:t>LICO is not linked to the distribution of income within the population. These are two constructs in income: dispersion and poverty/cut-off point.</w:t>
            </w:r>
          </w:p>
          <w:p w:rsidR="00BA184D" w:rsidRPr="00BA184D" w:rsidRDefault="00BA184D" w:rsidP="0096217A">
            <w:pPr>
              <w:rPr>
                <w:b/>
                <w:u w:val="single"/>
                <w:lang w:val="en-CA"/>
              </w:rPr>
            </w:pPr>
            <w:r w:rsidRPr="00BA184D">
              <w:rPr>
                <w:b/>
                <w:u w:val="single"/>
                <w:lang w:val="en-CA"/>
              </w:rPr>
              <w:t>Ginny</w:t>
            </w:r>
          </w:p>
          <w:p w:rsidR="00BA184D" w:rsidRPr="00BA184D" w:rsidRDefault="00BA184D" w:rsidP="0096217A">
            <w:pPr>
              <w:rPr>
                <w:lang w:val="en-CA"/>
              </w:rPr>
            </w:pPr>
            <w:r>
              <w:rPr>
                <w:lang w:val="en-CA"/>
              </w:rPr>
              <w:t>Could add a description what constitute measures of income inequality and explain that median share of income is the one that is readily available at the health unit level from Statistics Canada.</w:t>
            </w:r>
          </w:p>
        </w:tc>
        <w:tc>
          <w:tcPr>
            <w:tcW w:w="1710" w:type="dxa"/>
          </w:tcPr>
          <w:p w:rsidR="00EC17DC" w:rsidRDefault="00EC17DC" w:rsidP="0096217A">
            <w:pPr>
              <w:rPr>
                <w:lang w:val="en-CA"/>
              </w:rPr>
            </w:pPr>
            <w:r>
              <w:rPr>
                <w:lang w:val="en-CA"/>
              </w:rPr>
              <w:t>Luanne</w:t>
            </w:r>
          </w:p>
          <w:p w:rsidR="00EC17DC" w:rsidRDefault="00EC17DC" w:rsidP="0096217A">
            <w:pPr>
              <w:rPr>
                <w:lang w:val="en-CA"/>
              </w:rPr>
            </w:pPr>
          </w:p>
          <w:p w:rsidR="00EC17DC" w:rsidRDefault="00EC17DC" w:rsidP="0096217A">
            <w:pPr>
              <w:rPr>
                <w:lang w:val="en-CA"/>
              </w:rPr>
            </w:pPr>
          </w:p>
          <w:p w:rsidR="00EC17DC" w:rsidRDefault="00EC17DC" w:rsidP="0096217A">
            <w:pPr>
              <w:rPr>
                <w:lang w:val="en-CA"/>
              </w:rPr>
            </w:pPr>
          </w:p>
          <w:p w:rsidR="00EC17DC" w:rsidRDefault="00EC17DC" w:rsidP="0096217A">
            <w:pPr>
              <w:rPr>
                <w:lang w:val="en-CA"/>
              </w:rPr>
            </w:pPr>
          </w:p>
          <w:p w:rsidR="00EC17DC" w:rsidRDefault="00EC17DC" w:rsidP="0096217A">
            <w:pPr>
              <w:rPr>
                <w:lang w:val="en-CA"/>
              </w:rPr>
            </w:pPr>
          </w:p>
          <w:p w:rsidR="00EC17DC" w:rsidRPr="00F434A6" w:rsidRDefault="00EC17DC" w:rsidP="0096217A">
            <w:pPr>
              <w:rPr>
                <w:lang w:val="en-CA"/>
              </w:rPr>
            </w:pPr>
          </w:p>
        </w:tc>
        <w:tc>
          <w:tcPr>
            <w:tcW w:w="1553" w:type="dxa"/>
          </w:tcPr>
          <w:p w:rsidR="00EC17DC" w:rsidRPr="003D152C" w:rsidRDefault="00BA184D" w:rsidP="0096217A">
            <w:r>
              <w:t>W</w:t>
            </w:r>
            <w:r w:rsidR="00EC17DC">
              <w:t xml:space="preserve">ill </w:t>
            </w:r>
            <w:r w:rsidR="003D152C">
              <w:t xml:space="preserve">modify this indicator to reflect that it is </w:t>
            </w:r>
            <w:r w:rsidR="003D152C">
              <w:rPr>
                <w:i/>
              </w:rPr>
              <w:t>one</w:t>
            </w:r>
            <w:r w:rsidR="003D152C">
              <w:t xml:space="preserve"> potential measure of income inequality</w:t>
            </w:r>
            <w:r w:rsidR="00EC524E">
              <w:t xml:space="preserve"> and that it is available at </w:t>
            </w:r>
            <w:proofErr w:type="spellStart"/>
            <w:r w:rsidR="00EC524E">
              <w:t>Statcan</w:t>
            </w:r>
            <w:proofErr w:type="spellEnd"/>
            <w:r w:rsidR="00EC524E">
              <w:t>.</w:t>
            </w:r>
          </w:p>
        </w:tc>
      </w:tr>
      <w:tr w:rsidR="00BA184D" w:rsidRPr="00F434A6" w:rsidTr="00802A89">
        <w:trPr>
          <w:gridBefore w:val="1"/>
          <w:wBefore w:w="450" w:type="dxa"/>
          <w:trHeight w:val="383"/>
          <w:jc w:val="center"/>
        </w:trPr>
        <w:tc>
          <w:tcPr>
            <w:tcW w:w="810" w:type="dxa"/>
          </w:tcPr>
          <w:p w:rsidR="00BA184D" w:rsidRPr="00F434A6" w:rsidRDefault="00BA184D" w:rsidP="0096217A">
            <w:pPr>
              <w:rPr>
                <w:rFonts w:ascii="Calibri" w:hAnsi="Calibri" w:cs="Calibri"/>
                <w:sz w:val="24"/>
                <w:szCs w:val="24"/>
              </w:rPr>
            </w:pPr>
          </w:p>
        </w:tc>
        <w:tc>
          <w:tcPr>
            <w:tcW w:w="5342" w:type="dxa"/>
          </w:tcPr>
          <w:p w:rsidR="00BA184D" w:rsidRPr="0096217A" w:rsidRDefault="00BA184D" w:rsidP="0096217A">
            <w:pPr>
              <w:rPr>
                <w:b/>
                <w:lang w:val="en-CA"/>
              </w:rPr>
            </w:pPr>
            <w:r w:rsidRPr="0096217A">
              <w:rPr>
                <w:b/>
                <w:lang w:val="en-CA"/>
              </w:rPr>
              <w:t xml:space="preserve">Bill </w:t>
            </w:r>
          </w:p>
          <w:p w:rsidR="00BA184D" w:rsidRDefault="00BA184D" w:rsidP="0096217A">
            <w:pPr>
              <w:rPr>
                <w:lang w:val="en-CA"/>
              </w:rPr>
            </w:pPr>
            <w:r>
              <w:rPr>
                <w:lang w:val="en-CA"/>
              </w:rPr>
              <w:t xml:space="preserve">Robert </w:t>
            </w:r>
            <w:proofErr w:type="spellStart"/>
            <w:r>
              <w:rPr>
                <w:lang w:val="en-CA"/>
              </w:rPr>
              <w:t>Spasoff</w:t>
            </w:r>
            <w:proofErr w:type="spellEnd"/>
            <w:r>
              <w:rPr>
                <w:lang w:val="en-CA"/>
              </w:rPr>
              <w:t xml:space="preserve"> has used GINI and called it income inequality. </w:t>
            </w:r>
          </w:p>
          <w:p w:rsidR="00BA184D" w:rsidRPr="00983357" w:rsidRDefault="00BA184D" w:rsidP="0096217A"/>
        </w:tc>
        <w:tc>
          <w:tcPr>
            <w:tcW w:w="1710" w:type="dxa"/>
          </w:tcPr>
          <w:p w:rsidR="00BA184D" w:rsidRDefault="00BA184D" w:rsidP="0096217A">
            <w:pPr>
              <w:rPr>
                <w:lang w:val="en-CA"/>
              </w:rPr>
            </w:pPr>
            <w:r>
              <w:rPr>
                <w:lang w:val="en-CA"/>
              </w:rPr>
              <w:t>Bill</w:t>
            </w:r>
          </w:p>
        </w:tc>
        <w:tc>
          <w:tcPr>
            <w:tcW w:w="1553" w:type="dxa"/>
          </w:tcPr>
          <w:p w:rsidR="00BA184D" w:rsidRDefault="00BA184D" w:rsidP="0096217A">
            <w:r>
              <w:t>Forwarded (during meeting) two documents that use GINI coefficient as measure of income inequality, for reference</w:t>
            </w:r>
          </w:p>
        </w:tc>
      </w:tr>
      <w:tr w:rsidR="00EC17DC" w:rsidRPr="00F434A6" w:rsidTr="00802A89">
        <w:trPr>
          <w:trHeight w:val="370"/>
          <w:jc w:val="center"/>
        </w:trPr>
        <w:tc>
          <w:tcPr>
            <w:tcW w:w="1260" w:type="dxa"/>
            <w:gridSpan w:val="2"/>
          </w:tcPr>
          <w:p w:rsidR="00EC17DC" w:rsidRPr="00F434A6" w:rsidRDefault="00EC17DC" w:rsidP="00802A89">
            <w:pPr>
              <w:jc w:val="right"/>
            </w:pPr>
            <w:r w:rsidRPr="00F434A6">
              <w:lastRenderedPageBreak/>
              <w:t>5.2</w:t>
            </w:r>
          </w:p>
        </w:tc>
        <w:tc>
          <w:tcPr>
            <w:tcW w:w="5342" w:type="dxa"/>
          </w:tcPr>
          <w:p w:rsidR="00EC524E" w:rsidRDefault="00EC17DC" w:rsidP="0096217A">
            <w:pPr>
              <w:rPr>
                <w:lang w:val="en-CA"/>
              </w:rPr>
            </w:pPr>
            <w:r>
              <w:rPr>
                <w:lang w:val="en-CA"/>
              </w:rPr>
              <w:t>Low Income Rate</w:t>
            </w:r>
            <w:r w:rsidR="00EC524E">
              <w:rPr>
                <w:lang w:val="en-CA"/>
              </w:rPr>
              <w:t xml:space="preserve"> </w:t>
            </w:r>
          </w:p>
          <w:p w:rsidR="00EC524E" w:rsidRPr="00EC524E" w:rsidRDefault="00EC524E" w:rsidP="0096217A">
            <w:pPr>
              <w:rPr>
                <w:b/>
                <w:u w:val="single"/>
                <w:lang w:val="en-CA"/>
              </w:rPr>
            </w:pPr>
            <w:r w:rsidRPr="00EC524E">
              <w:rPr>
                <w:b/>
                <w:u w:val="single"/>
                <w:lang w:val="en-CA"/>
              </w:rPr>
              <w:t>Luanne</w:t>
            </w:r>
          </w:p>
          <w:p w:rsidR="00EC524E" w:rsidRDefault="00EC524E" w:rsidP="0096217A">
            <w:pPr>
              <w:rPr>
                <w:lang w:val="en-CA"/>
              </w:rPr>
            </w:pPr>
            <w:r>
              <w:rPr>
                <w:lang w:val="en-CA"/>
              </w:rPr>
              <w:t xml:space="preserve">As mentioned in 5.1, spoke at length with </w:t>
            </w:r>
            <w:proofErr w:type="spellStart"/>
            <w:r>
              <w:rPr>
                <w:lang w:val="en-CA"/>
              </w:rPr>
              <w:t>Statcan</w:t>
            </w:r>
            <w:proofErr w:type="spellEnd"/>
            <w:r>
              <w:rPr>
                <w:lang w:val="en-CA"/>
              </w:rPr>
              <w:t xml:space="preserve"> client services and is consulting with Mike Wilson. </w:t>
            </w:r>
          </w:p>
          <w:p w:rsidR="00EC17DC" w:rsidRPr="00F434A6" w:rsidRDefault="00EC524E" w:rsidP="0096217A">
            <w:pPr>
              <w:rPr>
                <w:lang w:val="en-CA"/>
              </w:rPr>
            </w:pPr>
            <w:r>
              <w:rPr>
                <w:lang w:val="en-CA"/>
              </w:rPr>
              <w:t>There are some measures that are relatively new, such as the Low Income Gap Ratio, which may be useful to include.</w:t>
            </w:r>
          </w:p>
        </w:tc>
        <w:tc>
          <w:tcPr>
            <w:tcW w:w="1710" w:type="dxa"/>
          </w:tcPr>
          <w:p w:rsidR="00EC17DC" w:rsidRDefault="00EC17DC" w:rsidP="0096217A">
            <w:pPr>
              <w:rPr>
                <w:lang w:val="en-CA"/>
              </w:rPr>
            </w:pPr>
            <w:r>
              <w:rPr>
                <w:lang w:val="en-CA"/>
              </w:rPr>
              <w:t>Luanne</w:t>
            </w:r>
          </w:p>
          <w:p w:rsidR="00EC17DC" w:rsidRPr="00F434A6" w:rsidRDefault="00EC17DC" w:rsidP="0096217A">
            <w:pPr>
              <w:rPr>
                <w:lang w:val="en-CA"/>
              </w:rPr>
            </w:pPr>
          </w:p>
        </w:tc>
        <w:tc>
          <w:tcPr>
            <w:tcW w:w="1553" w:type="dxa"/>
          </w:tcPr>
          <w:p w:rsidR="00EC17DC" w:rsidRDefault="00EC524E" w:rsidP="0096217A">
            <w:r>
              <w:t>W</w:t>
            </w:r>
            <w:r w:rsidR="00EC17DC">
              <w:t>ill forward  links for B2020 data to demonstrate which Low income data are already available</w:t>
            </w:r>
          </w:p>
          <w:p w:rsidR="00FD0433" w:rsidRPr="00F434A6" w:rsidRDefault="00FD0433" w:rsidP="0096217A">
            <w:r>
              <w:t>(completed 28 Feb, note: Gap ratio not available at HU level)</w:t>
            </w:r>
          </w:p>
        </w:tc>
      </w:tr>
      <w:tr w:rsidR="00EC524E" w:rsidRPr="00F434A6" w:rsidTr="00802A89">
        <w:trPr>
          <w:trHeight w:val="370"/>
          <w:jc w:val="center"/>
        </w:trPr>
        <w:tc>
          <w:tcPr>
            <w:tcW w:w="1260" w:type="dxa"/>
            <w:gridSpan w:val="2"/>
          </w:tcPr>
          <w:p w:rsidR="00EC524E" w:rsidRPr="00F434A6" w:rsidRDefault="00EC524E" w:rsidP="00802A89">
            <w:pPr>
              <w:jc w:val="right"/>
            </w:pPr>
          </w:p>
        </w:tc>
        <w:tc>
          <w:tcPr>
            <w:tcW w:w="5342" w:type="dxa"/>
          </w:tcPr>
          <w:p w:rsidR="00EC524E" w:rsidRDefault="00EC524E" w:rsidP="0096217A">
            <w:pPr>
              <w:rPr>
                <w:lang w:val="en-CA"/>
              </w:rPr>
            </w:pPr>
            <w:r>
              <w:rPr>
                <w:lang w:val="en-CA"/>
              </w:rPr>
              <w:t xml:space="preserve">Many group members have not yet reviewed this indicator. </w:t>
            </w:r>
          </w:p>
          <w:p w:rsidR="00EC524E" w:rsidRDefault="00EC524E" w:rsidP="0096217A">
            <w:pPr>
              <w:rPr>
                <w:lang w:val="en-CA"/>
              </w:rPr>
            </w:pPr>
          </w:p>
        </w:tc>
        <w:tc>
          <w:tcPr>
            <w:tcW w:w="1710" w:type="dxa"/>
          </w:tcPr>
          <w:p w:rsidR="00EC524E" w:rsidRDefault="00EC524E" w:rsidP="0096217A">
            <w:pPr>
              <w:rPr>
                <w:lang w:val="en-CA"/>
              </w:rPr>
            </w:pPr>
            <w:r>
              <w:rPr>
                <w:lang w:val="en-CA"/>
              </w:rPr>
              <w:t>Group</w:t>
            </w:r>
          </w:p>
        </w:tc>
        <w:tc>
          <w:tcPr>
            <w:tcW w:w="1553" w:type="dxa"/>
          </w:tcPr>
          <w:p w:rsidR="00EC524E" w:rsidRDefault="00EC524E" w:rsidP="0096217A">
            <w:r>
              <w:t>Will review and send feedback to Luanne.</w:t>
            </w:r>
          </w:p>
        </w:tc>
      </w:tr>
      <w:tr w:rsidR="00EC17DC" w:rsidRPr="00F434A6" w:rsidTr="00802A89">
        <w:trPr>
          <w:trHeight w:val="351"/>
          <w:jc w:val="center"/>
        </w:trPr>
        <w:tc>
          <w:tcPr>
            <w:tcW w:w="1260" w:type="dxa"/>
            <w:gridSpan w:val="2"/>
          </w:tcPr>
          <w:p w:rsidR="00EC17DC" w:rsidRPr="00F434A6" w:rsidRDefault="00EC17DC" w:rsidP="00802A89">
            <w:pPr>
              <w:jc w:val="right"/>
            </w:pPr>
            <w:r>
              <w:t>5.3</w:t>
            </w:r>
          </w:p>
        </w:tc>
        <w:tc>
          <w:tcPr>
            <w:tcW w:w="5342" w:type="dxa"/>
          </w:tcPr>
          <w:p w:rsidR="00EC17DC" w:rsidRDefault="00EC17DC" w:rsidP="0096217A">
            <w:r>
              <w:t>Lone-Parent Families</w:t>
            </w:r>
          </w:p>
          <w:p w:rsidR="00EC524E" w:rsidRDefault="00EC524E" w:rsidP="0096217A">
            <w:pPr>
              <w:rPr>
                <w:lang w:val="en-CA"/>
              </w:rPr>
            </w:pPr>
            <w:r w:rsidRPr="00EC524E">
              <w:rPr>
                <w:b/>
                <w:u w:val="single"/>
              </w:rPr>
              <w:t>Bill</w:t>
            </w:r>
            <w:r>
              <w:rPr>
                <w:lang w:val="en-CA"/>
              </w:rPr>
              <w:t xml:space="preserve"> </w:t>
            </w:r>
          </w:p>
          <w:p w:rsidR="00EC524E" w:rsidRPr="0096217A" w:rsidRDefault="00EC524E" w:rsidP="0096217A">
            <w:pPr>
              <w:rPr>
                <w:lang w:val="en-CA"/>
              </w:rPr>
            </w:pPr>
            <w:r>
              <w:rPr>
                <w:lang w:val="en-CA"/>
              </w:rPr>
              <w:t xml:space="preserve">Received feedback and updated variable. Census vs. NHS- NHS does include these questions, so it makes sense to include this NHS information in the documentation. It’s unclear right now </w:t>
            </w:r>
            <w:r w:rsidR="009136B9">
              <w:rPr>
                <w:lang w:val="en-CA"/>
              </w:rPr>
              <w:t>if/</w:t>
            </w:r>
            <w:r>
              <w:rPr>
                <w:lang w:val="en-CA"/>
              </w:rPr>
              <w:t>how these data will be linked back up with the Census data.</w:t>
            </w:r>
          </w:p>
        </w:tc>
        <w:tc>
          <w:tcPr>
            <w:tcW w:w="1710" w:type="dxa"/>
          </w:tcPr>
          <w:p w:rsidR="00EC17DC" w:rsidRPr="00F434A6" w:rsidRDefault="00EC17DC" w:rsidP="0096217A">
            <w:pPr>
              <w:rPr>
                <w:lang w:val="en-CA"/>
              </w:rPr>
            </w:pPr>
            <w:r>
              <w:rPr>
                <w:lang w:val="en-CA"/>
              </w:rPr>
              <w:t>Bil</w:t>
            </w:r>
            <w:r w:rsidR="00EE5222">
              <w:rPr>
                <w:lang w:val="en-CA"/>
              </w:rPr>
              <w:t>l</w:t>
            </w:r>
          </w:p>
        </w:tc>
        <w:tc>
          <w:tcPr>
            <w:tcW w:w="1553" w:type="dxa"/>
          </w:tcPr>
          <w:p w:rsidR="00EC17DC" w:rsidRPr="00F434A6" w:rsidRDefault="00EC17DC" w:rsidP="0096217A">
            <w:r>
              <w:t>Bill will finalize the version sent out Monday</w:t>
            </w:r>
            <w:r w:rsidR="009136B9">
              <w:t>, which includes NHS information</w:t>
            </w:r>
            <w:r>
              <w:t>.</w:t>
            </w:r>
          </w:p>
        </w:tc>
      </w:tr>
      <w:tr w:rsidR="00EC524E" w:rsidRPr="00F434A6" w:rsidTr="00802A89">
        <w:trPr>
          <w:trHeight w:val="351"/>
          <w:jc w:val="center"/>
        </w:trPr>
        <w:tc>
          <w:tcPr>
            <w:tcW w:w="1260" w:type="dxa"/>
            <w:gridSpan w:val="2"/>
          </w:tcPr>
          <w:p w:rsidR="00EC524E" w:rsidRDefault="00EC524E" w:rsidP="0096217A"/>
        </w:tc>
        <w:tc>
          <w:tcPr>
            <w:tcW w:w="5342" w:type="dxa"/>
          </w:tcPr>
          <w:p w:rsidR="00EC524E" w:rsidRDefault="00EC524E" w:rsidP="0096217A">
            <w:pPr>
              <w:rPr>
                <w:b/>
                <w:u w:val="single"/>
                <w:lang w:val="en-CA"/>
              </w:rPr>
            </w:pPr>
            <w:r>
              <w:rPr>
                <w:b/>
                <w:u w:val="single"/>
                <w:lang w:val="en-CA"/>
              </w:rPr>
              <w:t>Ginny</w:t>
            </w:r>
          </w:p>
          <w:p w:rsidR="00EC524E" w:rsidRDefault="00EC524E" w:rsidP="0096217A">
            <w:r>
              <w:t xml:space="preserve">Some of our already completed indicators may similarly be indicators that are used in crosstabs with other NHS data, so the NHS referencing may need to occur with those indicators as well. </w:t>
            </w:r>
          </w:p>
          <w:p w:rsidR="00EC524E" w:rsidRPr="00EC524E" w:rsidRDefault="00EC524E" w:rsidP="0096217A">
            <w:pPr>
              <w:rPr>
                <w:b/>
                <w:u w:val="single"/>
              </w:rPr>
            </w:pPr>
            <w:r w:rsidRPr="00EC524E">
              <w:rPr>
                <w:b/>
                <w:u w:val="single"/>
              </w:rPr>
              <w:t>Bill</w:t>
            </w:r>
          </w:p>
          <w:p w:rsidR="00EC524E" w:rsidRPr="00EC524E" w:rsidRDefault="00EC524E" w:rsidP="0096217A">
            <w:r>
              <w:t>One of these indicators will include Home Language</w:t>
            </w:r>
          </w:p>
        </w:tc>
        <w:tc>
          <w:tcPr>
            <w:tcW w:w="1710" w:type="dxa"/>
          </w:tcPr>
          <w:p w:rsidR="00EC524E" w:rsidRDefault="00EC524E" w:rsidP="0096217A">
            <w:pPr>
              <w:rPr>
                <w:lang w:val="en-CA"/>
              </w:rPr>
            </w:pPr>
            <w:r>
              <w:rPr>
                <w:lang w:val="en-CA"/>
              </w:rPr>
              <w:t>Ginny</w:t>
            </w:r>
          </w:p>
        </w:tc>
        <w:tc>
          <w:tcPr>
            <w:tcW w:w="1553" w:type="dxa"/>
          </w:tcPr>
          <w:p w:rsidR="00EC524E" w:rsidRDefault="00EC524E" w:rsidP="0096217A">
            <w:r>
              <w:t xml:space="preserve">Will check completed </w:t>
            </w:r>
            <w:proofErr w:type="gramStart"/>
            <w:r>
              <w:t>indicators  to</w:t>
            </w:r>
            <w:proofErr w:type="gramEnd"/>
            <w:r>
              <w:t xml:space="preserve"> ensure we follow this format.</w:t>
            </w:r>
          </w:p>
          <w:p w:rsidR="00FD0433" w:rsidRDefault="00FD0433" w:rsidP="0096217A">
            <w:r>
              <w:t>(Urban/rural and Mother Tongue may need to be updated)</w:t>
            </w:r>
          </w:p>
        </w:tc>
      </w:tr>
      <w:tr w:rsidR="00EC524E" w:rsidRPr="00F434A6" w:rsidTr="00802A89">
        <w:trPr>
          <w:trHeight w:val="351"/>
          <w:jc w:val="center"/>
        </w:trPr>
        <w:tc>
          <w:tcPr>
            <w:tcW w:w="1260" w:type="dxa"/>
            <w:gridSpan w:val="2"/>
          </w:tcPr>
          <w:p w:rsidR="00EC524E" w:rsidRDefault="00EC524E" w:rsidP="0096217A"/>
        </w:tc>
        <w:tc>
          <w:tcPr>
            <w:tcW w:w="5342" w:type="dxa"/>
          </w:tcPr>
          <w:p w:rsidR="00EC524E" w:rsidRDefault="00EC524E" w:rsidP="0096217A">
            <w:pPr>
              <w:rPr>
                <w:b/>
                <w:u w:val="single"/>
                <w:lang w:val="en-CA"/>
              </w:rPr>
            </w:pPr>
          </w:p>
        </w:tc>
        <w:tc>
          <w:tcPr>
            <w:tcW w:w="1710" w:type="dxa"/>
          </w:tcPr>
          <w:p w:rsidR="00EC524E" w:rsidRDefault="00EC524E" w:rsidP="0096217A">
            <w:pPr>
              <w:rPr>
                <w:lang w:val="en-CA"/>
              </w:rPr>
            </w:pPr>
            <w:r>
              <w:t>Cam</w:t>
            </w:r>
          </w:p>
        </w:tc>
        <w:tc>
          <w:tcPr>
            <w:tcW w:w="1553" w:type="dxa"/>
          </w:tcPr>
          <w:p w:rsidR="00EC524E" w:rsidRDefault="00EC524E" w:rsidP="0096217A">
            <w:r>
              <w:t xml:space="preserve">Will ensure ethnicity </w:t>
            </w:r>
            <w:r>
              <w:lastRenderedPageBreak/>
              <w:t>matches this format.</w:t>
            </w:r>
          </w:p>
        </w:tc>
      </w:tr>
      <w:tr w:rsidR="00EC17DC" w:rsidRPr="00F434A6" w:rsidTr="00802A89">
        <w:trPr>
          <w:trHeight w:val="471"/>
          <w:jc w:val="center"/>
        </w:trPr>
        <w:tc>
          <w:tcPr>
            <w:tcW w:w="1260" w:type="dxa"/>
            <w:gridSpan w:val="2"/>
          </w:tcPr>
          <w:p w:rsidR="00EC17DC" w:rsidRDefault="00EC17DC" w:rsidP="00802A89">
            <w:pPr>
              <w:jc w:val="right"/>
            </w:pPr>
            <w:r>
              <w:lastRenderedPageBreak/>
              <w:t>5.4</w:t>
            </w:r>
          </w:p>
        </w:tc>
        <w:tc>
          <w:tcPr>
            <w:tcW w:w="5342" w:type="dxa"/>
          </w:tcPr>
          <w:p w:rsidR="00EC17DC" w:rsidRPr="003773CA" w:rsidRDefault="00EC17DC" w:rsidP="0096217A">
            <w:r>
              <w:t>Aboriginal Population</w:t>
            </w:r>
          </w:p>
        </w:tc>
        <w:tc>
          <w:tcPr>
            <w:tcW w:w="1710" w:type="dxa"/>
          </w:tcPr>
          <w:p w:rsidR="00EC17DC" w:rsidRDefault="00EC17DC" w:rsidP="00802A89">
            <w:pPr>
              <w:rPr>
                <w:lang w:val="en-CA"/>
              </w:rPr>
            </w:pPr>
            <w:r>
              <w:rPr>
                <w:lang w:val="en-CA"/>
              </w:rPr>
              <w:t xml:space="preserve">Dinna </w:t>
            </w:r>
          </w:p>
        </w:tc>
        <w:tc>
          <w:tcPr>
            <w:tcW w:w="1553" w:type="dxa"/>
          </w:tcPr>
          <w:p w:rsidR="00EC17DC" w:rsidRPr="00F434A6" w:rsidRDefault="00802A89" w:rsidP="0096217A">
            <w:r>
              <w:rPr>
                <w:lang w:val="en-CA"/>
              </w:rPr>
              <w:t>Deferred</w:t>
            </w:r>
          </w:p>
        </w:tc>
      </w:tr>
      <w:tr w:rsidR="00802A89" w:rsidRPr="00F434A6" w:rsidTr="00802A89">
        <w:trPr>
          <w:trHeight w:val="418"/>
          <w:jc w:val="center"/>
        </w:trPr>
        <w:tc>
          <w:tcPr>
            <w:tcW w:w="1260" w:type="dxa"/>
            <w:gridSpan w:val="2"/>
          </w:tcPr>
          <w:p w:rsidR="00802A89" w:rsidRDefault="00802A89" w:rsidP="00802A89">
            <w:pPr>
              <w:jc w:val="right"/>
            </w:pPr>
            <w:r>
              <w:t>5.5</w:t>
            </w:r>
          </w:p>
        </w:tc>
        <w:tc>
          <w:tcPr>
            <w:tcW w:w="5342" w:type="dxa"/>
          </w:tcPr>
          <w:p w:rsidR="00802A89" w:rsidRDefault="00802A89" w:rsidP="0096217A">
            <w:r>
              <w:t>Living Arrangements for Seniors</w:t>
            </w:r>
          </w:p>
        </w:tc>
        <w:tc>
          <w:tcPr>
            <w:tcW w:w="1710" w:type="dxa"/>
          </w:tcPr>
          <w:p w:rsidR="00802A89" w:rsidRDefault="00802A89" w:rsidP="00BE2B1E">
            <w:pPr>
              <w:rPr>
                <w:lang w:val="en-CA"/>
              </w:rPr>
            </w:pPr>
            <w:r>
              <w:rPr>
                <w:lang w:val="en-CA"/>
              </w:rPr>
              <w:t xml:space="preserve">Dinna </w:t>
            </w:r>
          </w:p>
        </w:tc>
        <w:tc>
          <w:tcPr>
            <w:tcW w:w="1553" w:type="dxa"/>
          </w:tcPr>
          <w:p w:rsidR="00802A89" w:rsidRPr="00F434A6" w:rsidRDefault="00802A89" w:rsidP="00BE2B1E">
            <w:r>
              <w:rPr>
                <w:lang w:val="en-CA"/>
              </w:rPr>
              <w:t>Deferred</w:t>
            </w:r>
          </w:p>
        </w:tc>
      </w:tr>
      <w:tr w:rsidR="00802A89" w:rsidRPr="00F434A6" w:rsidTr="00802A89">
        <w:trPr>
          <w:trHeight w:val="375"/>
          <w:jc w:val="center"/>
        </w:trPr>
        <w:tc>
          <w:tcPr>
            <w:tcW w:w="1260" w:type="dxa"/>
            <w:gridSpan w:val="2"/>
          </w:tcPr>
          <w:p w:rsidR="00802A89" w:rsidRDefault="00802A89" w:rsidP="00802A89">
            <w:pPr>
              <w:jc w:val="right"/>
            </w:pPr>
            <w:r>
              <w:t>5.6</w:t>
            </w:r>
          </w:p>
        </w:tc>
        <w:tc>
          <w:tcPr>
            <w:tcW w:w="5342" w:type="dxa"/>
          </w:tcPr>
          <w:p w:rsidR="00802A89" w:rsidRDefault="00802A89" w:rsidP="0096217A">
            <w:r>
              <w:t>Mother Tongue</w:t>
            </w:r>
          </w:p>
        </w:tc>
        <w:tc>
          <w:tcPr>
            <w:tcW w:w="1710" w:type="dxa"/>
          </w:tcPr>
          <w:p w:rsidR="00802A89" w:rsidRDefault="00802A89" w:rsidP="00BE2B1E">
            <w:pPr>
              <w:rPr>
                <w:lang w:val="en-CA"/>
              </w:rPr>
            </w:pPr>
            <w:r>
              <w:rPr>
                <w:lang w:val="en-CA"/>
              </w:rPr>
              <w:t xml:space="preserve">Dinna </w:t>
            </w:r>
          </w:p>
        </w:tc>
        <w:tc>
          <w:tcPr>
            <w:tcW w:w="1553" w:type="dxa"/>
          </w:tcPr>
          <w:p w:rsidR="00802A89" w:rsidRPr="00F434A6" w:rsidRDefault="00802A89" w:rsidP="00BE2B1E">
            <w:r>
              <w:rPr>
                <w:lang w:val="en-CA"/>
              </w:rPr>
              <w:t>Deferred</w:t>
            </w:r>
          </w:p>
        </w:tc>
      </w:tr>
      <w:tr w:rsidR="00EC17DC" w:rsidRPr="00F434A6" w:rsidTr="000F0024">
        <w:trPr>
          <w:jc w:val="center"/>
        </w:trPr>
        <w:tc>
          <w:tcPr>
            <w:tcW w:w="1260" w:type="dxa"/>
            <w:gridSpan w:val="2"/>
          </w:tcPr>
          <w:p w:rsidR="00EC17DC" w:rsidRPr="00F434A6" w:rsidRDefault="00EC17DC" w:rsidP="0096217A">
            <w:r w:rsidRPr="00F434A6">
              <w:t>5.</w:t>
            </w:r>
            <w:r>
              <w:t>7</w:t>
            </w:r>
          </w:p>
        </w:tc>
        <w:tc>
          <w:tcPr>
            <w:tcW w:w="5342" w:type="dxa"/>
          </w:tcPr>
          <w:p w:rsidR="00EC17DC" w:rsidRPr="00F434A6" w:rsidRDefault="00EC17DC" w:rsidP="0096217A">
            <w:r w:rsidRPr="00F434A6">
              <w:t>Indicators to be completed:</w:t>
            </w:r>
          </w:p>
          <w:p w:rsidR="00EC17DC" w:rsidRPr="00F434A6" w:rsidRDefault="00EC17DC" w:rsidP="0096217A">
            <w:pPr>
              <w:rPr>
                <w:b/>
                <w:u w:val="single"/>
              </w:rPr>
            </w:pPr>
            <w:r w:rsidRPr="00F434A6">
              <w:rPr>
                <w:b/>
                <w:u w:val="single"/>
              </w:rPr>
              <w:t>Population indicators:</w:t>
            </w:r>
          </w:p>
          <w:p w:rsidR="00EC17DC" w:rsidRPr="00F702FB" w:rsidRDefault="00EC17DC" w:rsidP="0096217A">
            <w:pPr>
              <w:rPr>
                <w:lang w:val="en-CA"/>
              </w:rPr>
            </w:pPr>
            <w:r w:rsidRPr="00F702FB">
              <w:rPr>
                <w:lang w:val="en-CA"/>
              </w:rPr>
              <w:t xml:space="preserve">Immigrant population – Cam/Natalie – </w:t>
            </w:r>
            <w:r w:rsidRPr="00290CD1">
              <w:rPr>
                <w:i/>
                <w:lang w:val="en-CA"/>
              </w:rPr>
              <w:t>in progress</w:t>
            </w:r>
          </w:p>
          <w:p w:rsidR="00EC17DC" w:rsidRPr="00F434A6" w:rsidRDefault="00EC17DC" w:rsidP="0096217A">
            <w:r>
              <w:t>Percent Who Cannot S</w:t>
            </w:r>
            <w:r w:rsidRPr="00F434A6">
              <w:t>peak English or French – Cam</w:t>
            </w:r>
            <w:r>
              <w:t xml:space="preserve"> - </w:t>
            </w:r>
            <w:r w:rsidRPr="00290CD1">
              <w:rPr>
                <w:i/>
              </w:rPr>
              <w:t>completed</w:t>
            </w:r>
          </w:p>
          <w:p w:rsidR="00EC17DC" w:rsidRDefault="00EC17DC" w:rsidP="0096217A">
            <w:pPr>
              <w:rPr>
                <w:i/>
              </w:rPr>
            </w:pPr>
            <w:r w:rsidRPr="00F434A6">
              <w:t>Living Arrangements for Seniors – Dinna</w:t>
            </w:r>
            <w:r>
              <w:t xml:space="preserve">- </w:t>
            </w:r>
            <w:r>
              <w:rPr>
                <w:i/>
              </w:rPr>
              <w:t>in progress</w:t>
            </w:r>
          </w:p>
          <w:p w:rsidR="00EC17DC" w:rsidRPr="00F702FB" w:rsidRDefault="00EC17DC" w:rsidP="0096217A">
            <w:pPr>
              <w:rPr>
                <w:lang w:val="en-CA"/>
              </w:rPr>
            </w:pPr>
            <w:r w:rsidRPr="00F702FB">
              <w:rPr>
                <w:lang w:val="en-CA"/>
              </w:rPr>
              <w:t xml:space="preserve">Aboriginal population – Dinna – </w:t>
            </w:r>
            <w:r>
              <w:rPr>
                <w:i/>
                <w:lang w:val="en-CA"/>
              </w:rPr>
              <w:t>in progress</w:t>
            </w:r>
          </w:p>
          <w:p w:rsidR="00EC17DC" w:rsidRPr="00983357" w:rsidRDefault="00EC17DC" w:rsidP="0096217A">
            <w:r w:rsidRPr="00F434A6">
              <w:t>Mother Tongue – Din</w:t>
            </w:r>
            <w:r>
              <w:t>n</w:t>
            </w:r>
            <w:r w:rsidRPr="00F434A6">
              <w:t>a</w:t>
            </w:r>
            <w:r>
              <w:t xml:space="preserve">- </w:t>
            </w:r>
            <w:r>
              <w:rPr>
                <w:i/>
              </w:rPr>
              <w:t>in progress</w:t>
            </w:r>
          </w:p>
          <w:p w:rsidR="00EC17DC" w:rsidRPr="00F434A6" w:rsidRDefault="00EC17DC" w:rsidP="0096217A">
            <w:pPr>
              <w:rPr>
                <w:b/>
                <w:u w:val="single"/>
              </w:rPr>
            </w:pPr>
            <w:r w:rsidRPr="00F434A6">
              <w:rPr>
                <w:b/>
                <w:u w:val="single"/>
              </w:rPr>
              <w:t>Social Environment and Health indicators:</w:t>
            </w:r>
          </w:p>
          <w:p w:rsidR="00EC17DC" w:rsidRPr="00F434A6" w:rsidRDefault="00EC17DC" w:rsidP="0096217A">
            <w:r w:rsidRPr="00F434A6">
              <w:t xml:space="preserve">Income inequality – Luanne – </w:t>
            </w:r>
            <w:r>
              <w:rPr>
                <w:i/>
              </w:rPr>
              <w:t>completed</w:t>
            </w:r>
          </w:p>
          <w:p w:rsidR="00EC17DC" w:rsidRPr="00F434A6" w:rsidRDefault="00EC17DC" w:rsidP="0096217A">
            <w:r w:rsidRPr="00F434A6">
              <w:t xml:space="preserve">Low income rate – Luanne </w:t>
            </w:r>
            <w:r w:rsidRPr="00F434A6">
              <w:rPr>
                <w:i/>
              </w:rPr>
              <w:t>–</w:t>
            </w:r>
            <w:r>
              <w:rPr>
                <w:i/>
              </w:rPr>
              <w:t>in progress</w:t>
            </w:r>
          </w:p>
          <w:p w:rsidR="00EC17DC" w:rsidRPr="00F434A6" w:rsidRDefault="00EC17DC" w:rsidP="0096217A">
            <w:r w:rsidRPr="00F434A6">
              <w:t>Single Parent Families – Bill</w:t>
            </w:r>
            <w:r>
              <w:t xml:space="preserve"> - </w:t>
            </w:r>
            <w:r w:rsidRPr="00914E17">
              <w:rPr>
                <w:i/>
              </w:rPr>
              <w:t>completed</w:t>
            </w:r>
          </w:p>
          <w:p w:rsidR="00EC17DC" w:rsidRDefault="00EC17DC" w:rsidP="0096217A">
            <w:pPr>
              <w:rPr>
                <w:i/>
              </w:rPr>
            </w:pPr>
            <w:r w:rsidRPr="00F434A6">
              <w:t>Education</w:t>
            </w:r>
            <w:r>
              <w:t xml:space="preserve"> Level</w:t>
            </w:r>
            <w:r w:rsidRPr="00F434A6">
              <w:t xml:space="preserve"> – Virginia</w:t>
            </w:r>
            <w:r>
              <w:t xml:space="preserve"> – </w:t>
            </w:r>
            <w:r w:rsidRPr="00914E17">
              <w:rPr>
                <w:i/>
              </w:rPr>
              <w:t>completed</w:t>
            </w:r>
          </w:p>
          <w:p w:rsidR="00EC17DC" w:rsidRPr="003773CA" w:rsidRDefault="00EC17DC" w:rsidP="0096217A">
            <w:pPr>
              <w:rPr>
                <w:i/>
              </w:rPr>
            </w:pPr>
          </w:p>
        </w:tc>
        <w:tc>
          <w:tcPr>
            <w:tcW w:w="1710" w:type="dxa"/>
          </w:tcPr>
          <w:p w:rsidR="00EC17DC" w:rsidRPr="00F434A6" w:rsidRDefault="00EC524E" w:rsidP="0096217A">
            <w:r w:rsidRPr="00F434A6">
              <w:t>All</w:t>
            </w:r>
          </w:p>
        </w:tc>
        <w:tc>
          <w:tcPr>
            <w:tcW w:w="1553" w:type="dxa"/>
          </w:tcPr>
          <w:p w:rsidR="00EC17DC" w:rsidRPr="00F434A6" w:rsidRDefault="00EC17DC" w:rsidP="0096217A"/>
        </w:tc>
      </w:tr>
      <w:tr w:rsidR="00EC17DC" w:rsidRPr="00F434A6" w:rsidTr="000F0024">
        <w:trPr>
          <w:jc w:val="center"/>
        </w:trPr>
        <w:tc>
          <w:tcPr>
            <w:tcW w:w="1260" w:type="dxa"/>
            <w:gridSpan w:val="2"/>
          </w:tcPr>
          <w:p w:rsidR="00EC17DC" w:rsidRPr="00F434A6" w:rsidRDefault="00EC17DC" w:rsidP="0096217A">
            <w:pPr>
              <w:rPr>
                <w:b/>
              </w:rPr>
            </w:pPr>
            <w:r w:rsidRPr="00F434A6">
              <w:rPr>
                <w:b/>
              </w:rPr>
              <w:t>6.0</w:t>
            </w:r>
          </w:p>
        </w:tc>
        <w:tc>
          <w:tcPr>
            <w:tcW w:w="5342" w:type="dxa"/>
          </w:tcPr>
          <w:p w:rsidR="00EC17DC" w:rsidRPr="00F434A6" w:rsidRDefault="00EC17DC" w:rsidP="0096217A">
            <w:pPr>
              <w:rPr>
                <w:b/>
              </w:rPr>
            </w:pPr>
            <w:r w:rsidRPr="00F434A6">
              <w:rPr>
                <w:b/>
              </w:rPr>
              <w:t>Standing Items</w:t>
            </w:r>
          </w:p>
        </w:tc>
        <w:tc>
          <w:tcPr>
            <w:tcW w:w="1710" w:type="dxa"/>
          </w:tcPr>
          <w:p w:rsidR="00EC17DC" w:rsidRPr="00F434A6" w:rsidRDefault="00EC17DC" w:rsidP="0096217A"/>
        </w:tc>
        <w:tc>
          <w:tcPr>
            <w:tcW w:w="1553" w:type="dxa"/>
          </w:tcPr>
          <w:p w:rsidR="00EC17DC" w:rsidRPr="00F434A6" w:rsidRDefault="00EC17DC" w:rsidP="0096217A"/>
        </w:tc>
      </w:tr>
      <w:tr w:rsidR="00EC17DC" w:rsidRPr="00F434A6" w:rsidTr="000F0024">
        <w:trPr>
          <w:trHeight w:val="720"/>
          <w:jc w:val="center"/>
        </w:trPr>
        <w:tc>
          <w:tcPr>
            <w:tcW w:w="1260" w:type="dxa"/>
            <w:gridSpan w:val="2"/>
          </w:tcPr>
          <w:p w:rsidR="00EC17DC" w:rsidRPr="00F434A6" w:rsidRDefault="00EC17DC" w:rsidP="00F31570">
            <w:pPr>
              <w:jc w:val="right"/>
            </w:pPr>
            <w:r w:rsidRPr="00F434A6">
              <w:t>6.1</w:t>
            </w:r>
          </w:p>
        </w:tc>
        <w:tc>
          <w:tcPr>
            <w:tcW w:w="5342" w:type="dxa"/>
          </w:tcPr>
          <w:p w:rsidR="009136B9" w:rsidRDefault="00EC17DC" w:rsidP="0096217A">
            <w:r w:rsidRPr="00F434A6">
              <w:t>Items to bring forward to CIWG</w:t>
            </w:r>
            <w:r w:rsidR="009136B9">
              <w:t xml:space="preserve"> </w:t>
            </w:r>
          </w:p>
          <w:p w:rsidR="009136B9" w:rsidRPr="009136B9" w:rsidRDefault="009136B9" w:rsidP="0096217A">
            <w:pPr>
              <w:rPr>
                <w:b/>
                <w:u w:val="single"/>
              </w:rPr>
            </w:pPr>
            <w:r>
              <w:rPr>
                <w:b/>
                <w:u w:val="single"/>
              </w:rPr>
              <w:t>All</w:t>
            </w:r>
          </w:p>
          <w:p w:rsidR="00EC17DC" w:rsidRPr="00F434A6" w:rsidRDefault="009136B9" w:rsidP="00A463FC">
            <w:r>
              <w:t>Nothing brought forward.</w:t>
            </w:r>
          </w:p>
        </w:tc>
        <w:tc>
          <w:tcPr>
            <w:tcW w:w="1710" w:type="dxa"/>
          </w:tcPr>
          <w:p w:rsidR="00EC17DC" w:rsidRDefault="009136B9" w:rsidP="0096217A">
            <w:r>
              <w:t>Cam/Luanne</w:t>
            </w:r>
          </w:p>
          <w:p w:rsidR="00EC17DC" w:rsidRPr="00F434A6" w:rsidRDefault="00EC17DC" w:rsidP="0096217A"/>
        </w:tc>
        <w:tc>
          <w:tcPr>
            <w:tcW w:w="1553" w:type="dxa"/>
          </w:tcPr>
          <w:p w:rsidR="00EC17DC" w:rsidRPr="00F434A6" w:rsidRDefault="00EC17DC" w:rsidP="0096217A">
            <w:r>
              <w:t xml:space="preserve">Will forward info on </w:t>
            </w:r>
            <w:proofErr w:type="spellStart"/>
            <w:r>
              <w:t>sunsetting</w:t>
            </w:r>
            <w:proofErr w:type="spellEnd"/>
            <w:r>
              <w:t xml:space="preserve"> indicators to the group.</w:t>
            </w:r>
          </w:p>
        </w:tc>
      </w:tr>
      <w:tr w:rsidR="00EC17DC" w:rsidRPr="00F434A6" w:rsidTr="000F0024">
        <w:trPr>
          <w:trHeight w:val="750"/>
          <w:jc w:val="center"/>
        </w:trPr>
        <w:tc>
          <w:tcPr>
            <w:tcW w:w="1260" w:type="dxa"/>
            <w:gridSpan w:val="2"/>
          </w:tcPr>
          <w:p w:rsidR="00EC17DC" w:rsidRPr="00F434A6" w:rsidRDefault="00EC17DC" w:rsidP="00F31570">
            <w:pPr>
              <w:jc w:val="right"/>
            </w:pPr>
            <w:r>
              <w:t>6.2</w:t>
            </w:r>
          </w:p>
        </w:tc>
        <w:tc>
          <w:tcPr>
            <w:tcW w:w="5342" w:type="dxa"/>
          </w:tcPr>
          <w:p w:rsidR="009136B9" w:rsidRDefault="00EC17DC" w:rsidP="0096217A">
            <w:r>
              <w:t>New Leadership of SDOH CIWG</w:t>
            </w:r>
            <w:r w:rsidR="009136B9">
              <w:t xml:space="preserve"> </w:t>
            </w:r>
          </w:p>
          <w:p w:rsidR="009136B9" w:rsidRPr="009136B9" w:rsidRDefault="009136B9" w:rsidP="0096217A">
            <w:pPr>
              <w:rPr>
                <w:b/>
                <w:u w:val="single"/>
              </w:rPr>
            </w:pPr>
            <w:r w:rsidRPr="009136B9">
              <w:rPr>
                <w:b/>
                <w:u w:val="single"/>
              </w:rPr>
              <w:t>Luanne</w:t>
            </w:r>
          </w:p>
          <w:p w:rsidR="009136B9" w:rsidRPr="00F434A6" w:rsidRDefault="009136B9" w:rsidP="0096217A">
            <w:r>
              <w:t>Ginny will lead the CIWG SDOH workgroup.</w:t>
            </w:r>
          </w:p>
        </w:tc>
        <w:tc>
          <w:tcPr>
            <w:tcW w:w="1710" w:type="dxa"/>
          </w:tcPr>
          <w:p w:rsidR="00EC17DC" w:rsidRPr="00F434A6" w:rsidRDefault="009136B9" w:rsidP="0096217A">
            <w:r>
              <w:t>Luanne/Cam</w:t>
            </w:r>
          </w:p>
        </w:tc>
        <w:tc>
          <w:tcPr>
            <w:tcW w:w="1553" w:type="dxa"/>
          </w:tcPr>
          <w:p w:rsidR="00EC17DC" w:rsidRDefault="009136B9" w:rsidP="0096217A">
            <w:r>
              <w:t>Will send files to Ginny</w:t>
            </w:r>
          </w:p>
        </w:tc>
      </w:tr>
      <w:tr w:rsidR="00EC17DC" w:rsidRPr="00F434A6" w:rsidTr="0096217A">
        <w:trPr>
          <w:trHeight w:val="732"/>
          <w:jc w:val="center"/>
        </w:trPr>
        <w:tc>
          <w:tcPr>
            <w:tcW w:w="1260" w:type="dxa"/>
            <w:gridSpan w:val="2"/>
          </w:tcPr>
          <w:p w:rsidR="00EC17DC" w:rsidRPr="00F434A6" w:rsidRDefault="00EC17DC" w:rsidP="0096217A">
            <w:pPr>
              <w:rPr>
                <w:b/>
              </w:rPr>
            </w:pPr>
            <w:r w:rsidRPr="00F434A6">
              <w:rPr>
                <w:b/>
              </w:rPr>
              <w:lastRenderedPageBreak/>
              <w:t>7.0</w:t>
            </w:r>
          </w:p>
        </w:tc>
        <w:tc>
          <w:tcPr>
            <w:tcW w:w="5342" w:type="dxa"/>
          </w:tcPr>
          <w:p w:rsidR="00EC17DC" w:rsidRPr="00F434A6" w:rsidRDefault="00EC17DC" w:rsidP="0096217A">
            <w:pPr>
              <w:rPr>
                <w:b/>
              </w:rPr>
            </w:pPr>
            <w:r w:rsidRPr="00F434A6">
              <w:rPr>
                <w:b/>
              </w:rPr>
              <w:t xml:space="preserve">Date, Time and Location of Next Meeting </w:t>
            </w:r>
          </w:p>
          <w:p w:rsidR="00EC17DC" w:rsidRPr="00F434A6" w:rsidRDefault="00EC17DC" w:rsidP="0096217A">
            <w:pPr>
              <w:rPr>
                <w:b/>
              </w:rPr>
            </w:pPr>
            <w:r>
              <w:rPr>
                <w:b/>
              </w:rPr>
              <w:t>March 20</w:t>
            </w:r>
            <w:r w:rsidRPr="00F434A6">
              <w:rPr>
                <w:b/>
              </w:rPr>
              <w:t>, 2013 1:30-3:30pm</w:t>
            </w:r>
          </w:p>
        </w:tc>
        <w:tc>
          <w:tcPr>
            <w:tcW w:w="1710" w:type="dxa"/>
          </w:tcPr>
          <w:p w:rsidR="00EC17DC" w:rsidRPr="00F434A6" w:rsidRDefault="00EC17DC" w:rsidP="0096217A"/>
        </w:tc>
        <w:tc>
          <w:tcPr>
            <w:tcW w:w="1553" w:type="dxa"/>
          </w:tcPr>
          <w:p w:rsidR="00EC17DC" w:rsidRPr="00F434A6" w:rsidRDefault="00EC17DC" w:rsidP="0096217A"/>
        </w:tc>
      </w:tr>
    </w:tbl>
    <w:p w:rsidR="00F44712" w:rsidRDefault="00F44712" w:rsidP="0096217A">
      <w:pPr>
        <w:rPr>
          <w:rFonts w:ascii="Calibri" w:hAnsi="Calibri" w:cs="Calibri"/>
          <w:sz w:val="24"/>
          <w:szCs w:val="24"/>
        </w:rPr>
      </w:pPr>
    </w:p>
    <w:sectPr w:rsidR="00F44712" w:rsidSect="00081866">
      <w:footerReference w:type="default" r:id="rId7"/>
      <w:type w:val="continuous"/>
      <w:pgSz w:w="12240" w:h="15840"/>
      <w:pgMar w:top="1440" w:right="1440" w:bottom="90" w:left="1440" w:header="706" w:footer="706"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755" w:rsidRDefault="004E1755">
      <w:r>
        <w:separator/>
      </w:r>
    </w:p>
  </w:endnote>
  <w:endnote w:type="continuationSeparator" w:id="0">
    <w:p w:rsidR="004E1755" w:rsidRDefault="004E1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55" w:rsidRPr="005208D0" w:rsidRDefault="004E1755" w:rsidP="005208D0">
    <w:pPr>
      <w:pStyle w:val="Footer"/>
      <w:jc w:val="center"/>
      <w:rPr>
        <w:lang w:val="en-CA"/>
      </w:rPr>
    </w:pPr>
    <w:r>
      <w:rPr>
        <w:lang w:val="en-CA"/>
      </w:rPr>
      <w:t>Meeting Minutes: February 27,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755" w:rsidRDefault="004E1755">
      <w:r>
        <w:separator/>
      </w:r>
    </w:p>
  </w:footnote>
  <w:footnote w:type="continuationSeparator" w:id="0">
    <w:p w:rsidR="004E1755" w:rsidRDefault="004E1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D66"/>
    <w:multiLevelType w:val="singleLevel"/>
    <w:tmpl w:val="6BF2A3AC"/>
    <w:lvl w:ilvl="0">
      <w:start w:val="1"/>
      <w:numFmt w:val="lowerRoman"/>
      <w:lvlText w:val="%1)"/>
      <w:lvlJc w:val="left"/>
      <w:pPr>
        <w:tabs>
          <w:tab w:val="num" w:pos="720"/>
        </w:tabs>
        <w:ind w:left="720" w:hanging="720"/>
      </w:pPr>
      <w:rPr>
        <w:rFonts w:hint="default"/>
      </w:rPr>
    </w:lvl>
  </w:abstractNum>
  <w:abstractNum w:abstractNumId="1">
    <w:nsid w:val="07493276"/>
    <w:multiLevelType w:val="multilevel"/>
    <w:tmpl w:val="34F4EB7E"/>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
    <w:nsid w:val="085439B8"/>
    <w:multiLevelType w:val="hybridMultilevel"/>
    <w:tmpl w:val="2BA247D2"/>
    <w:lvl w:ilvl="0" w:tplc="9BC2C898">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1036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B152113"/>
    <w:multiLevelType w:val="hybridMultilevel"/>
    <w:tmpl w:val="2DD80FC6"/>
    <w:lvl w:ilvl="0" w:tplc="F98CFE2A">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374BD2"/>
    <w:multiLevelType w:val="hybridMultilevel"/>
    <w:tmpl w:val="F79A57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26401E32"/>
    <w:multiLevelType w:val="hybridMultilevel"/>
    <w:tmpl w:val="34F4EB7E"/>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27E3666E"/>
    <w:multiLevelType w:val="multilevel"/>
    <w:tmpl w:val="B1D850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05E3113"/>
    <w:multiLevelType w:val="hybridMultilevel"/>
    <w:tmpl w:val="D8664B52"/>
    <w:lvl w:ilvl="0" w:tplc="7A30F018">
      <w:start w:val="1"/>
      <w:numFmt w:val="bullet"/>
      <w:lvlText w:val=""/>
      <w:lvlJc w:val="left"/>
      <w:pPr>
        <w:tabs>
          <w:tab w:val="num" w:pos="360"/>
        </w:tabs>
        <w:ind w:left="360" w:hanging="360"/>
      </w:pPr>
      <w:rPr>
        <w:rFonts w:ascii="Symbol" w:hAnsi="Symbol" w:hint="default"/>
        <w:color w:val="auto"/>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nsid w:val="396F2142"/>
    <w:multiLevelType w:val="hybridMultilevel"/>
    <w:tmpl w:val="AFBC5FD8"/>
    <w:lvl w:ilvl="0" w:tplc="1AF6B96A">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F3A57F9"/>
    <w:multiLevelType w:val="multilevel"/>
    <w:tmpl w:val="4FC23110"/>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23251A"/>
    <w:multiLevelType w:val="hybridMultilevel"/>
    <w:tmpl w:val="3F62FACA"/>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429A616B"/>
    <w:multiLevelType w:val="multilevel"/>
    <w:tmpl w:val="0A06D830"/>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2A276DD"/>
    <w:multiLevelType w:val="hybridMultilevel"/>
    <w:tmpl w:val="BA3C1E66"/>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43027180"/>
    <w:multiLevelType w:val="singleLevel"/>
    <w:tmpl w:val="0C090015"/>
    <w:lvl w:ilvl="0">
      <w:start w:val="1"/>
      <w:numFmt w:val="upperLetter"/>
      <w:lvlText w:val="%1."/>
      <w:lvlJc w:val="left"/>
      <w:pPr>
        <w:tabs>
          <w:tab w:val="num" w:pos="360"/>
        </w:tabs>
        <w:ind w:left="360" w:hanging="360"/>
      </w:pPr>
      <w:rPr>
        <w:rFonts w:hint="default"/>
      </w:rPr>
    </w:lvl>
  </w:abstractNum>
  <w:abstractNum w:abstractNumId="15">
    <w:nsid w:val="44DB3C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4A416E54"/>
    <w:multiLevelType w:val="hybridMultilevel"/>
    <w:tmpl w:val="B6521CAA"/>
    <w:lvl w:ilvl="0" w:tplc="5B08BD12">
      <w:start w:val="1"/>
      <w:numFmt w:val="decimal"/>
      <w:lvlText w:val="%1."/>
      <w:lvlJc w:val="left"/>
      <w:pPr>
        <w:ind w:left="720" w:hanging="360"/>
      </w:pPr>
      <w:rPr>
        <w:rFonts w:ascii="Calibri" w:hAnsi="Calibri" w:hint="default"/>
        <w:b w:val="0"/>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CED5328"/>
    <w:multiLevelType w:val="hybridMultilevel"/>
    <w:tmpl w:val="4BE27174"/>
    <w:lvl w:ilvl="0" w:tplc="0DB67C4E">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E7B06CF"/>
    <w:multiLevelType w:val="multilevel"/>
    <w:tmpl w:val="2814E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0F625A0"/>
    <w:multiLevelType w:val="multilevel"/>
    <w:tmpl w:val="2814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C2953"/>
    <w:multiLevelType w:val="singleLevel"/>
    <w:tmpl w:val="0409000F"/>
    <w:lvl w:ilvl="0">
      <w:start w:val="1"/>
      <w:numFmt w:val="decimal"/>
      <w:lvlText w:val="%1."/>
      <w:lvlJc w:val="left"/>
      <w:pPr>
        <w:tabs>
          <w:tab w:val="num" w:pos="360"/>
        </w:tabs>
        <w:ind w:left="360" w:hanging="360"/>
      </w:pPr>
    </w:lvl>
  </w:abstractNum>
  <w:abstractNum w:abstractNumId="21">
    <w:nsid w:val="5E8E4B53"/>
    <w:multiLevelType w:val="hybridMultilevel"/>
    <w:tmpl w:val="2A88310C"/>
    <w:lvl w:ilvl="0" w:tplc="0B74E2DC">
      <w:start w:val="1"/>
      <w:numFmt w:val="decimal"/>
      <w:lvlText w:val="%1."/>
      <w:lvlJc w:val="left"/>
      <w:pPr>
        <w:ind w:left="720" w:hanging="360"/>
      </w:pPr>
      <w:rPr>
        <w:rFonts w:ascii="Arial" w:eastAsia="Times New Roman"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4CD4674"/>
    <w:multiLevelType w:val="multilevel"/>
    <w:tmpl w:val="0CD6ED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74B6E4C"/>
    <w:multiLevelType w:val="hybridMultilevel"/>
    <w:tmpl w:val="34D09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7748B0"/>
    <w:multiLevelType w:val="hybridMultilevel"/>
    <w:tmpl w:val="72E8BAF8"/>
    <w:lvl w:ilvl="0" w:tplc="0EB6CB60">
      <w:start w:val="1"/>
      <w:numFmt w:val="decimal"/>
      <w:lvlText w:val="%1."/>
      <w:lvlJc w:val="left"/>
      <w:pPr>
        <w:ind w:left="720" w:hanging="360"/>
      </w:pPr>
      <w:rPr>
        <w:rFonts w:ascii="Calibri" w:hAnsi="Calibri" w:hint="default"/>
        <w:b w:val="0"/>
        <w:i w:val="0"/>
        <w:color w:val="auto"/>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7455824"/>
    <w:multiLevelType w:val="hybridMultilevel"/>
    <w:tmpl w:val="61F0B2A8"/>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0"/>
  </w:num>
  <w:num w:numId="2">
    <w:abstractNumId w:val="15"/>
  </w:num>
  <w:num w:numId="3">
    <w:abstractNumId w:val="3"/>
  </w:num>
  <w:num w:numId="4">
    <w:abstractNumId w:val="0"/>
  </w:num>
  <w:num w:numId="5">
    <w:abstractNumId w:val="14"/>
  </w:num>
  <w:num w:numId="6">
    <w:abstractNumId w:val="12"/>
  </w:num>
  <w:num w:numId="7">
    <w:abstractNumId w:val="10"/>
  </w:num>
  <w:num w:numId="8">
    <w:abstractNumId w:val="6"/>
  </w:num>
  <w:num w:numId="9">
    <w:abstractNumId w:val="25"/>
  </w:num>
  <w:num w:numId="10">
    <w:abstractNumId w:val="11"/>
  </w:num>
  <w:num w:numId="11">
    <w:abstractNumId w:val="1"/>
  </w:num>
  <w:num w:numId="12">
    <w:abstractNumId w:val="19"/>
  </w:num>
  <w:num w:numId="13">
    <w:abstractNumId w:val="18"/>
  </w:num>
  <w:num w:numId="14">
    <w:abstractNumId w:val="13"/>
  </w:num>
  <w:num w:numId="15">
    <w:abstractNumId w:val="2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2"/>
  </w:num>
  <w:num w:numId="20">
    <w:abstractNumId w:val="17"/>
  </w:num>
  <w:num w:numId="21">
    <w:abstractNumId w:val="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5"/>
  </w:num>
  <w:num w:numId="25">
    <w:abstractNumId w:val="16"/>
  </w:num>
  <w:num w:numId="26">
    <w:abstractNumId w:val="24"/>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A17B70"/>
    <w:rsid w:val="00012B99"/>
    <w:rsid w:val="0002132F"/>
    <w:rsid w:val="00022AA1"/>
    <w:rsid w:val="00022ACE"/>
    <w:rsid w:val="00027DE3"/>
    <w:rsid w:val="0003560A"/>
    <w:rsid w:val="00040CBE"/>
    <w:rsid w:val="000431EF"/>
    <w:rsid w:val="000450B0"/>
    <w:rsid w:val="000509DF"/>
    <w:rsid w:val="00051D15"/>
    <w:rsid w:val="000605F6"/>
    <w:rsid w:val="0006359C"/>
    <w:rsid w:val="00063D01"/>
    <w:rsid w:val="00073AE0"/>
    <w:rsid w:val="00076642"/>
    <w:rsid w:val="00081866"/>
    <w:rsid w:val="00085FEE"/>
    <w:rsid w:val="00086CC6"/>
    <w:rsid w:val="0009004C"/>
    <w:rsid w:val="00094F34"/>
    <w:rsid w:val="00094F44"/>
    <w:rsid w:val="0009572E"/>
    <w:rsid w:val="000A3E4E"/>
    <w:rsid w:val="000A4871"/>
    <w:rsid w:val="000B0297"/>
    <w:rsid w:val="000B0317"/>
    <w:rsid w:val="000B0F8F"/>
    <w:rsid w:val="000B705C"/>
    <w:rsid w:val="000C3088"/>
    <w:rsid w:val="000C6E1A"/>
    <w:rsid w:val="000D01B3"/>
    <w:rsid w:val="000D037D"/>
    <w:rsid w:val="000D26FB"/>
    <w:rsid w:val="000D2A94"/>
    <w:rsid w:val="000D4E3A"/>
    <w:rsid w:val="000E434A"/>
    <w:rsid w:val="000E6D5B"/>
    <w:rsid w:val="000E7C51"/>
    <w:rsid w:val="000F0024"/>
    <w:rsid w:val="000F3808"/>
    <w:rsid w:val="000F79EF"/>
    <w:rsid w:val="0010323E"/>
    <w:rsid w:val="0011287A"/>
    <w:rsid w:val="001178D4"/>
    <w:rsid w:val="00120D89"/>
    <w:rsid w:val="00121906"/>
    <w:rsid w:val="00122D68"/>
    <w:rsid w:val="00131BDD"/>
    <w:rsid w:val="00132174"/>
    <w:rsid w:val="00132C43"/>
    <w:rsid w:val="00136A0C"/>
    <w:rsid w:val="00136DA5"/>
    <w:rsid w:val="00137EC1"/>
    <w:rsid w:val="001425AD"/>
    <w:rsid w:val="00145BBD"/>
    <w:rsid w:val="0014708A"/>
    <w:rsid w:val="001511D5"/>
    <w:rsid w:val="0015268A"/>
    <w:rsid w:val="001638D6"/>
    <w:rsid w:val="0016450C"/>
    <w:rsid w:val="001657FC"/>
    <w:rsid w:val="00165AE3"/>
    <w:rsid w:val="00166222"/>
    <w:rsid w:val="00167057"/>
    <w:rsid w:val="001673BB"/>
    <w:rsid w:val="00167CEA"/>
    <w:rsid w:val="00170D30"/>
    <w:rsid w:val="00181CF1"/>
    <w:rsid w:val="00182A4F"/>
    <w:rsid w:val="0018738D"/>
    <w:rsid w:val="0019673E"/>
    <w:rsid w:val="001975CC"/>
    <w:rsid w:val="001A0BD4"/>
    <w:rsid w:val="001B23DE"/>
    <w:rsid w:val="001B3141"/>
    <w:rsid w:val="001B370F"/>
    <w:rsid w:val="001B5CD4"/>
    <w:rsid w:val="001B712C"/>
    <w:rsid w:val="001C69E8"/>
    <w:rsid w:val="001C6BEF"/>
    <w:rsid w:val="001E1F31"/>
    <w:rsid w:val="001E5491"/>
    <w:rsid w:val="001E5A80"/>
    <w:rsid w:val="001E5A84"/>
    <w:rsid w:val="001E7015"/>
    <w:rsid w:val="001F0524"/>
    <w:rsid w:val="001F0E66"/>
    <w:rsid w:val="001F229D"/>
    <w:rsid w:val="001F3B29"/>
    <w:rsid w:val="001F4487"/>
    <w:rsid w:val="001F70D5"/>
    <w:rsid w:val="002026E8"/>
    <w:rsid w:val="00207D2B"/>
    <w:rsid w:val="00213F01"/>
    <w:rsid w:val="00215A36"/>
    <w:rsid w:val="00225930"/>
    <w:rsid w:val="00230954"/>
    <w:rsid w:val="0023103A"/>
    <w:rsid w:val="00233065"/>
    <w:rsid w:val="002360AC"/>
    <w:rsid w:val="002379CD"/>
    <w:rsid w:val="00240ABF"/>
    <w:rsid w:val="0024116B"/>
    <w:rsid w:val="00241CE0"/>
    <w:rsid w:val="00241F7E"/>
    <w:rsid w:val="002448EE"/>
    <w:rsid w:val="00250F9A"/>
    <w:rsid w:val="002529B0"/>
    <w:rsid w:val="00257C37"/>
    <w:rsid w:val="002622B3"/>
    <w:rsid w:val="002639A5"/>
    <w:rsid w:val="00264453"/>
    <w:rsid w:val="002674F0"/>
    <w:rsid w:val="00273125"/>
    <w:rsid w:val="0028343C"/>
    <w:rsid w:val="00287054"/>
    <w:rsid w:val="0028794D"/>
    <w:rsid w:val="00290CD1"/>
    <w:rsid w:val="00291F17"/>
    <w:rsid w:val="002925F4"/>
    <w:rsid w:val="00293C7A"/>
    <w:rsid w:val="002958AF"/>
    <w:rsid w:val="002A3F32"/>
    <w:rsid w:val="002A64CD"/>
    <w:rsid w:val="002A767E"/>
    <w:rsid w:val="002B3026"/>
    <w:rsid w:val="002B4170"/>
    <w:rsid w:val="002B49F6"/>
    <w:rsid w:val="002C3902"/>
    <w:rsid w:val="002C51F5"/>
    <w:rsid w:val="002C6E0B"/>
    <w:rsid w:val="002C70BF"/>
    <w:rsid w:val="002D119A"/>
    <w:rsid w:val="002D2506"/>
    <w:rsid w:val="002D46FF"/>
    <w:rsid w:val="002E0797"/>
    <w:rsid w:val="002E0CF8"/>
    <w:rsid w:val="002F00F1"/>
    <w:rsid w:val="002F4183"/>
    <w:rsid w:val="00305CC8"/>
    <w:rsid w:val="00311A34"/>
    <w:rsid w:val="0031584A"/>
    <w:rsid w:val="0032171B"/>
    <w:rsid w:val="00325FE3"/>
    <w:rsid w:val="00326F0B"/>
    <w:rsid w:val="00327350"/>
    <w:rsid w:val="00333A7E"/>
    <w:rsid w:val="00337AAC"/>
    <w:rsid w:val="00342792"/>
    <w:rsid w:val="00345E50"/>
    <w:rsid w:val="0034718C"/>
    <w:rsid w:val="0035119F"/>
    <w:rsid w:val="00353CDC"/>
    <w:rsid w:val="003575B9"/>
    <w:rsid w:val="00362EAA"/>
    <w:rsid w:val="00366C8C"/>
    <w:rsid w:val="00373090"/>
    <w:rsid w:val="003773CA"/>
    <w:rsid w:val="00380B06"/>
    <w:rsid w:val="003823C1"/>
    <w:rsid w:val="00382FA3"/>
    <w:rsid w:val="00386D14"/>
    <w:rsid w:val="00390F65"/>
    <w:rsid w:val="00392133"/>
    <w:rsid w:val="00393AB3"/>
    <w:rsid w:val="0039437D"/>
    <w:rsid w:val="003962E1"/>
    <w:rsid w:val="003A2E1D"/>
    <w:rsid w:val="003A35CE"/>
    <w:rsid w:val="003A3AAE"/>
    <w:rsid w:val="003A74B5"/>
    <w:rsid w:val="003B644E"/>
    <w:rsid w:val="003B704D"/>
    <w:rsid w:val="003B7712"/>
    <w:rsid w:val="003C3216"/>
    <w:rsid w:val="003C4791"/>
    <w:rsid w:val="003C66A8"/>
    <w:rsid w:val="003D152C"/>
    <w:rsid w:val="003D4724"/>
    <w:rsid w:val="003D6F2B"/>
    <w:rsid w:val="003D7C79"/>
    <w:rsid w:val="003E4BA1"/>
    <w:rsid w:val="003F633F"/>
    <w:rsid w:val="00400793"/>
    <w:rsid w:val="004013B8"/>
    <w:rsid w:val="00405C20"/>
    <w:rsid w:val="004117C9"/>
    <w:rsid w:val="00412E94"/>
    <w:rsid w:val="004134B3"/>
    <w:rsid w:val="00414860"/>
    <w:rsid w:val="00416928"/>
    <w:rsid w:val="00416B5C"/>
    <w:rsid w:val="00420AFB"/>
    <w:rsid w:val="00421C86"/>
    <w:rsid w:val="00432C3A"/>
    <w:rsid w:val="004365FA"/>
    <w:rsid w:val="0044062A"/>
    <w:rsid w:val="00442088"/>
    <w:rsid w:val="00445B0B"/>
    <w:rsid w:val="00446B7A"/>
    <w:rsid w:val="0045517F"/>
    <w:rsid w:val="0045657C"/>
    <w:rsid w:val="00460485"/>
    <w:rsid w:val="004610EF"/>
    <w:rsid w:val="00464A70"/>
    <w:rsid w:val="00470BE8"/>
    <w:rsid w:val="00471DA4"/>
    <w:rsid w:val="00473A68"/>
    <w:rsid w:val="00482C14"/>
    <w:rsid w:val="00483C90"/>
    <w:rsid w:val="0049002D"/>
    <w:rsid w:val="00493805"/>
    <w:rsid w:val="00496FDA"/>
    <w:rsid w:val="004A07C5"/>
    <w:rsid w:val="004A30B0"/>
    <w:rsid w:val="004A4D52"/>
    <w:rsid w:val="004A60C2"/>
    <w:rsid w:val="004A71C7"/>
    <w:rsid w:val="004B2836"/>
    <w:rsid w:val="004B57D3"/>
    <w:rsid w:val="004B7D37"/>
    <w:rsid w:val="004C7725"/>
    <w:rsid w:val="004D096A"/>
    <w:rsid w:val="004E133A"/>
    <w:rsid w:val="004E1755"/>
    <w:rsid w:val="004E2C92"/>
    <w:rsid w:val="004E3BB4"/>
    <w:rsid w:val="004F04F8"/>
    <w:rsid w:val="004F2FE2"/>
    <w:rsid w:val="004F3154"/>
    <w:rsid w:val="004F587D"/>
    <w:rsid w:val="0050041F"/>
    <w:rsid w:val="00503E81"/>
    <w:rsid w:val="00504D71"/>
    <w:rsid w:val="00506EC5"/>
    <w:rsid w:val="0051042A"/>
    <w:rsid w:val="005128C7"/>
    <w:rsid w:val="00512D30"/>
    <w:rsid w:val="00512D6A"/>
    <w:rsid w:val="00514641"/>
    <w:rsid w:val="00520369"/>
    <w:rsid w:val="005208D0"/>
    <w:rsid w:val="00523E09"/>
    <w:rsid w:val="005245A0"/>
    <w:rsid w:val="00545050"/>
    <w:rsid w:val="005465EB"/>
    <w:rsid w:val="00547D22"/>
    <w:rsid w:val="005519AC"/>
    <w:rsid w:val="00553CA8"/>
    <w:rsid w:val="0056097A"/>
    <w:rsid w:val="00563FFA"/>
    <w:rsid w:val="00566505"/>
    <w:rsid w:val="0057008C"/>
    <w:rsid w:val="0057343E"/>
    <w:rsid w:val="00577F92"/>
    <w:rsid w:val="00583309"/>
    <w:rsid w:val="00583BA9"/>
    <w:rsid w:val="00583CCD"/>
    <w:rsid w:val="00590F7E"/>
    <w:rsid w:val="00595A0B"/>
    <w:rsid w:val="005A4958"/>
    <w:rsid w:val="005A641B"/>
    <w:rsid w:val="005B05FE"/>
    <w:rsid w:val="005C11E4"/>
    <w:rsid w:val="005C4CD2"/>
    <w:rsid w:val="005C5F73"/>
    <w:rsid w:val="005D1367"/>
    <w:rsid w:val="005D3AF3"/>
    <w:rsid w:val="005D6F13"/>
    <w:rsid w:val="005E43D7"/>
    <w:rsid w:val="005E5B44"/>
    <w:rsid w:val="005E6192"/>
    <w:rsid w:val="005F274C"/>
    <w:rsid w:val="005F2AFD"/>
    <w:rsid w:val="005F61A4"/>
    <w:rsid w:val="005F7174"/>
    <w:rsid w:val="005F773D"/>
    <w:rsid w:val="00601AE3"/>
    <w:rsid w:val="00603A40"/>
    <w:rsid w:val="00606820"/>
    <w:rsid w:val="006108DF"/>
    <w:rsid w:val="0061463D"/>
    <w:rsid w:val="00616E2B"/>
    <w:rsid w:val="00620683"/>
    <w:rsid w:val="00630AB5"/>
    <w:rsid w:val="00634261"/>
    <w:rsid w:val="00634DC3"/>
    <w:rsid w:val="00635743"/>
    <w:rsid w:val="006406C2"/>
    <w:rsid w:val="006424EF"/>
    <w:rsid w:val="00646B27"/>
    <w:rsid w:val="00647A17"/>
    <w:rsid w:val="00653F65"/>
    <w:rsid w:val="00655015"/>
    <w:rsid w:val="0065648A"/>
    <w:rsid w:val="00660287"/>
    <w:rsid w:val="00661D41"/>
    <w:rsid w:val="00664474"/>
    <w:rsid w:val="00671002"/>
    <w:rsid w:val="00672755"/>
    <w:rsid w:val="00683FAF"/>
    <w:rsid w:val="00693058"/>
    <w:rsid w:val="00696320"/>
    <w:rsid w:val="006A5405"/>
    <w:rsid w:val="006B206B"/>
    <w:rsid w:val="006B3048"/>
    <w:rsid w:val="006B5362"/>
    <w:rsid w:val="006B5E41"/>
    <w:rsid w:val="006B75B2"/>
    <w:rsid w:val="006C02B4"/>
    <w:rsid w:val="006C2554"/>
    <w:rsid w:val="006C30A5"/>
    <w:rsid w:val="006C4E46"/>
    <w:rsid w:val="006D1411"/>
    <w:rsid w:val="006E0469"/>
    <w:rsid w:val="006E24D1"/>
    <w:rsid w:val="006E38E1"/>
    <w:rsid w:val="006E614F"/>
    <w:rsid w:val="006F1C75"/>
    <w:rsid w:val="006F20E6"/>
    <w:rsid w:val="006F38C7"/>
    <w:rsid w:val="006F60B0"/>
    <w:rsid w:val="006F6611"/>
    <w:rsid w:val="006F66D4"/>
    <w:rsid w:val="00707730"/>
    <w:rsid w:val="00717347"/>
    <w:rsid w:val="007205D5"/>
    <w:rsid w:val="00722D7F"/>
    <w:rsid w:val="007230B6"/>
    <w:rsid w:val="007256EB"/>
    <w:rsid w:val="0072639F"/>
    <w:rsid w:val="007264A2"/>
    <w:rsid w:val="007307E9"/>
    <w:rsid w:val="007354E4"/>
    <w:rsid w:val="00740A7D"/>
    <w:rsid w:val="007412B0"/>
    <w:rsid w:val="00741DD2"/>
    <w:rsid w:val="00742B44"/>
    <w:rsid w:val="00744E62"/>
    <w:rsid w:val="00744F7E"/>
    <w:rsid w:val="007453F8"/>
    <w:rsid w:val="0074739B"/>
    <w:rsid w:val="00752025"/>
    <w:rsid w:val="00752BDA"/>
    <w:rsid w:val="00754BD6"/>
    <w:rsid w:val="00754CFC"/>
    <w:rsid w:val="0076661F"/>
    <w:rsid w:val="00766C27"/>
    <w:rsid w:val="00767E81"/>
    <w:rsid w:val="00773C14"/>
    <w:rsid w:val="00774F03"/>
    <w:rsid w:val="00776A90"/>
    <w:rsid w:val="0078365A"/>
    <w:rsid w:val="00786D83"/>
    <w:rsid w:val="00797D44"/>
    <w:rsid w:val="007A558B"/>
    <w:rsid w:val="007A637C"/>
    <w:rsid w:val="007B3050"/>
    <w:rsid w:val="007B480E"/>
    <w:rsid w:val="007B5490"/>
    <w:rsid w:val="007B7644"/>
    <w:rsid w:val="007C6CD8"/>
    <w:rsid w:val="007D3960"/>
    <w:rsid w:val="007D6B3F"/>
    <w:rsid w:val="007D7425"/>
    <w:rsid w:val="007E3FC7"/>
    <w:rsid w:val="007F0810"/>
    <w:rsid w:val="007F5A07"/>
    <w:rsid w:val="00801E3F"/>
    <w:rsid w:val="00802A89"/>
    <w:rsid w:val="00805806"/>
    <w:rsid w:val="00806127"/>
    <w:rsid w:val="00807A5B"/>
    <w:rsid w:val="00813FB1"/>
    <w:rsid w:val="00816205"/>
    <w:rsid w:val="0082463E"/>
    <w:rsid w:val="00825B04"/>
    <w:rsid w:val="0083078C"/>
    <w:rsid w:val="00832789"/>
    <w:rsid w:val="00835B0F"/>
    <w:rsid w:val="00835CFC"/>
    <w:rsid w:val="008429C6"/>
    <w:rsid w:val="00843D38"/>
    <w:rsid w:val="008456C7"/>
    <w:rsid w:val="0084648D"/>
    <w:rsid w:val="008500F0"/>
    <w:rsid w:val="008548E1"/>
    <w:rsid w:val="00854BAA"/>
    <w:rsid w:val="0086718D"/>
    <w:rsid w:val="00867ADD"/>
    <w:rsid w:val="00867D61"/>
    <w:rsid w:val="008707CC"/>
    <w:rsid w:val="00873451"/>
    <w:rsid w:val="0087372E"/>
    <w:rsid w:val="00882A44"/>
    <w:rsid w:val="00885386"/>
    <w:rsid w:val="00890A81"/>
    <w:rsid w:val="00895A3B"/>
    <w:rsid w:val="008A0AB2"/>
    <w:rsid w:val="008A0E15"/>
    <w:rsid w:val="008A4C33"/>
    <w:rsid w:val="008A6C67"/>
    <w:rsid w:val="008A74B4"/>
    <w:rsid w:val="008B3B75"/>
    <w:rsid w:val="008B4FDC"/>
    <w:rsid w:val="008D66D1"/>
    <w:rsid w:val="008D689C"/>
    <w:rsid w:val="008D7A3A"/>
    <w:rsid w:val="008E4CF8"/>
    <w:rsid w:val="008E61F7"/>
    <w:rsid w:val="008E6600"/>
    <w:rsid w:val="008F29D7"/>
    <w:rsid w:val="008F76DB"/>
    <w:rsid w:val="0090007C"/>
    <w:rsid w:val="00900B75"/>
    <w:rsid w:val="00900F31"/>
    <w:rsid w:val="009059AE"/>
    <w:rsid w:val="00910B98"/>
    <w:rsid w:val="00912DB8"/>
    <w:rsid w:val="00912E00"/>
    <w:rsid w:val="009136B9"/>
    <w:rsid w:val="0091498B"/>
    <w:rsid w:val="00914E17"/>
    <w:rsid w:val="00923F82"/>
    <w:rsid w:val="00926455"/>
    <w:rsid w:val="00933D76"/>
    <w:rsid w:val="00934454"/>
    <w:rsid w:val="00940ECF"/>
    <w:rsid w:val="00941826"/>
    <w:rsid w:val="00946118"/>
    <w:rsid w:val="00950234"/>
    <w:rsid w:val="009509FA"/>
    <w:rsid w:val="00951692"/>
    <w:rsid w:val="00953D8E"/>
    <w:rsid w:val="00953F75"/>
    <w:rsid w:val="0096217A"/>
    <w:rsid w:val="009642CE"/>
    <w:rsid w:val="00964B86"/>
    <w:rsid w:val="009655BE"/>
    <w:rsid w:val="00971FE7"/>
    <w:rsid w:val="009722EE"/>
    <w:rsid w:val="00972688"/>
    <w:rsid w:val="009730F4"/>
    <w:rsid w:val="00977263"/>
    <w:rsid w:val="00983357"/>
    <w:rsid w:val="009860C2"/>
    <w:rsid w:val="00990461"/>
    <w:rsid w:val="009A06D6"/>
    <w:rsid w:val="009A77B4"/>
    <w:rsid w:val="009B1534"/>
    <w:rsid w:val="009B25FD"/>
    <w:rsid w:val="009B3D33"/>
    <w:rsid w:val="009B3FB0"/>
    <w:rsid w:val="009B54DC"/>
    <w:rsid w:val="009C5525"/>
    <w:rsid w:val="009D4B25"/>
    <w:rsid w:val="009D5718"/>
    <w:rsid w:val="009F56E4"/>
    <w:rsid w:val="00A00C18"/>
    <w:rsid w:val="00A011B1"/>
    <w:rsid w:val="00A05492"/>
    <w:rsid w:val="00A1454F"/>
    <w:rsid w:val="00A174F0"/>
    <w:rsid w:val="00A17B70"/>
    <w:rsid w:val="00A2708D"/>
    <w:rsid w:val="00A304B7"/>
    <w:rsid w:val="00A332CC"/>
    <w:rsid w:val="00A335C7"/>
    <w:rsid w:val="00A34A25"/>
    <w:rsid w:val="00A463FC"/>
    <w:rsid w:val="00A53452"/>
    <w:rsid w:val="00A538CC"/>
    <w:rsid w:val="00A55971"/>
    <w:rsid w:val="00A62522"/>
    <w:rsid w:val="00A71770"/>
    <w:rsid w:val="00A76EF7"/>
    <w:rsid w:val="00A7784D"/>
    <w:rsid w:val="00A77E7E"/>
    <w:rsid w:val="00A828EB"/>
    <w:rsid w:val="00A841DE"/>
    <w:rsid w:val="00A962FC"/>
    <w:rsid w:val="00AA52D8"/>
    <w:rsid w:val="00AB27CF"/>
    <w:rsid w:val="00AC108D"/>
    <w:rsid w:val="00AC1FCD"/>
    <w:rsid w:val="00AC59B8"/>
    <w:rsid w:val="00AC6115"/>
    <w:rsid w:val="00AC75C6"/>
    <w:rsid w:val="00AD7213"/>
    <w:rsid w:val="00AE0D2D"/>
    <w:rsid w:val="00AE7B19"/>
    <w:rsid w:val="00AF16D9"/>
    <w:rsid w:val="00AF2066"/>
    <w:rsid w:val="00AF4239"/>
    <w:rsid w:val="00AF6BA9"/>
    <w:rsid w:val="00B07D78"/>
    <w:rsid w:val="00B14CE8"/>
    <w:rsid w:val="00B17D73"/>
    <w:rsid w:val="00B22248"/>
    <w:rsid w:val="00B225A1"/>
    <w:rsid w:val="00B23333"/>
    <w:rsid w:val="00B25C24"/>
    <w:rsid w:val="00B30470"/>
    <w:rsid w:val="00B34621"/>
    <w:rsid w:val="00B349F9"/>
    <w:rsid w:val="00B36B5A"/>
    <w:rsid w:val="00B5062E"/>
    <w:rsid w:val="00B50798"/>
    <w:rsid w:val="00B50EA8"/>
    <w:rsid w:val="00B53D88"/>
    <w:rsid w:val="00B55C22"/>
    <w:rsid w:val="00B60123"/>
    <w:rsid w:val="00B6178B"/>
    <w:rsid w:val="00B6238E"/>
    <w:rsid w:val="00B71F71"/>
    <w:rsid w:val="00B75762"/>
    <w:rsid w:val="00B8526D"/>
    <w:rsid w:val="00B856DA"/>
    <w:rsid w:val="00B862B6"/>
    <w:rsid w:val="00B90196"/>
    <w:rsid w:val="00B972D9"/>
    <w:rsid w:val="00B9749B"/>
    <w:rsid w:val="00BA184D"/>
    <w:rsid w:val="00BA43E3"/>
    <w:rsid w:val="00BB21FD"/>
    <w:rsid w:val="00BB2637"/>
    <w:rsid w:val="00BB6C52"/>
    <w:rsid w:val="00BC19C7"/>
    <w:rsid w:val="00BC575D"/>
    <w:rsid w:val="00BC5BA7"/>
    <w:rsid w:val="00BD24FF"/>
    <w:rsid w:val="00BD264E"/>
    <w:rsid w:val="00BD4867"/>
    <w:rsid w:val="00BD611C"/>
    <w:rsid w:val="00BD6B27"/>
    <w:rsid w:val="00BE0AAC"/>
    <w:rsid w:val="00BE3B63"/>
    <w:rsid w:val="00BF21B9"/>
    <w:rsid w:val="00BF5F00"/>
    <w:rsid w:val="00BF7205"/>
    <w:rsid w:val="00BF7FC7"/>
    <w:rsid w:val="00C002DA"/>
    <w:rsid w:val="00C01F52"/>
    <w:rsid w:val="00C04832"/>
    <w:rsid w:val="00C1017A"/>
    <w:rsid w:val="00C14E17"/>
    <w:rsid w:val="00C15D9F"/>
    <w:rsid w:val="00C21521"/>
    <w:rsid w:val="00C34E87"/>
    <w:rsid w:val="00C41CE9"/>
    <w:rsid w:val="00C42214"/>
    <w:rsid w:val="00C440FF"/>
    <w:rsid w:val="00C44CC2"/>
    <w:rsid w:val="00C5044C"/>
    <w:rsid w:val="00C50D73"/>
    <w:rsid w:val="00C55536"/>
    <w:rsid w:val="00C566D3"/>
    <w:rsid w:val="00C63C92"/>
    <w:rsid w:val="00C6498D"/>
    <w:rsid w:val="00C77FD0"/>
    <w:rsid w:val="00C800EB"/>
    <w:rsid w:val="00C8343F"/>
    <w:rsid w:val="00C84F52"/>
    <w:rsid w:val="00C86094"/>
    <w:rsid w:val="00C949E3"/>
    <w:rsid w:val="00C9654E"/>
    <w:rsid w:val="00C97E7A"/>
    <w:rsid w:val="00CA6E23"/>
    <w:rsid w:val="00CA74F7"/>
    <w:rsid w:val="00CB0A08"/>
    <w:rsid w:val="00CB24D6"/>
    <w:rsid w:val="00CB2520"/>
    <w:rsid w:val="00CB2C4C"/>
    <w:rsid w:val="00CC48CC"/>
    <w:rsid w:val="00CC6B93"/>
    <w:rsid w:val="00CC7825"/>
    <w:rsid w:val="00CD039F"/>
    <w:rsid w:val="00CD18BF"/>
    <w:rsid w:val="00CD7B81"/>
    <w:rsid w:val="00CE278F"/>
    <w:rsid w:val="00CE3428"/>
    <w:rsid w:val="00CE3B98"/>
    <w:rsid w:val="00CE55E9"/>
    <w:rsid w:val="00CF0A68"/>
    <w:rsid w:val="00CF30ED"/>
    <w:rsid w:val="00D0392B"/>
    <w:rsid w:val="00D04ED6"/>
    <w:rsid w:val="00D11745"/>
    <w:rsid w:val="00D11C3D"/>
    <w:rsid w:val="00D15CFC"/>
    <w:rsid w:val="00D16E4A"/>
    <w:rsid w:val="00D17B6D"/>
    <w:rsid w:val="00D27251"/>
    <w:rsid w:val="00D31654"/>
    <w:rsid w:val="00D37445"/>
    <w:rsid w:val="00D43635"/>
    <w:rsid w:val="00D44F41"/>
    <w:rsid w:val="00D468ED"/>
    <w:rsid w:val="00D47D21"/>
    <w:rsid w:val="00D47D75"/>
    <w:rsid w:val="00D62810"/>
    <w:rsid w:val="00D62D02"/>
    <w:rsid w:val="00D67191"/>
    <w:rsid w:val="00D6754B"/>
    <w:rsid w:val="00D71237"/>
    <w:rsid w:val="00D82B35"/>
    <w:rsid w:val="00D84D8E"/>
    <w:rsid w:val="00D87A2F"/>
    <w:rsid w:val="00D91DED"/>
    <w:rsid w:val="00D9731D"/>
    <w:rsid w:val="00DA4F73"/>
    <w:rsid w:val="00DA5DEA"/>
    <w:rsid w:val="00DA7629"/>
    <w:rsid w:val="00DB1D57"/>
    <w:rsid w:val="00DC144C"/>
    <w:rsid w:val="00DC2DDB"/>
    <w:rsid w:val="00DC3305"/>
    <w:rsid w:val="00DC44E0"/>
    <w:rsid w:val="00DC5B71"/>
    <w:rsid w:val="00DC7E63"/>
    <w:rsid w:val="00DD0DF9"/>
    <w:rsid w:val="00DE4220"/>
    <w:rsid w:val="00DE73D7"/>
    <w:rsid w:val="00DF069F"/>
    <w:rsid w:val="00DF06B3"/>
    <w:rsid w:val="00DF0E3F"/>
    <w:rsid w:val="00DF70FF"/>
    <w:rsid w:val="00DF76AC"/>
    <w:rsid w:val="00E03ED6"/>
    <w:rsid w:val="00E11784"/>
    <w:rsid w:val="00E11B33"/>
    <w:rsid w:val="00E11D60"/>
    <w:rsid w:val="00E21243"/>
    <w:rsid w:val="00E21FA2"/>
    <w:rsid w:val="00E42C3F"/>
    <w:rsid w:val="00E44E82"/>
    <w:rsid w:val="00E55BBB"/>
    <w:rsid w:val="00E572A4"/>
    <w:rsid w:val="00E57BAE"/>
    <w:rsid w:val="00E64C14"/>
    <w:rsid w:val="00E6500F"/>
    <w:rsid w:val="00E67AEF"/>
    <w:rsid w:val="00E704EC"/>
    <w:rsid w:val="00E72866"/>
    <w:rsid w:val="00E769C9"/>
    <w:rsid w:val="00E86283"/>
    <w:rsid w:val="00EA09EA"/>
    <w:rsid w:val="00EA25EF"/>
    <w:rsid w:val="00EA26D5"/>
    <w:rsid w:val="00EA347C"/>
    <w:rsid w:val="00EA4D62"/>
    <w:rsid w:val="00EA668F"/>
    <w:rsid w:val="00EA6B59"/>
    <w:rsid w:val="00EB0C29"/>
    <w:rsid w:val="00EB48AD"/>
    <w:rsid w:val="00EC17DC"/>
    <w:rsid w:val="00EC29F2"/>
    <w:rsid w:val="00EC524E"/>
    <w:rsid w:val="00EC6F6E"/>
    <w:rsid w:val="00EC756F"/>
    <w:rsid w:val="00ED0EDC"/>
    <w:rsid w:val="00ED1729"/>
    <w:rsid w:val="00ED4E0B"/>
    <w:rsid w:val="00EE04AC"/>
    <w:rsid w:val="00EE0A4A"/>
    <w:rsid w:val="00EE5222"/>
    <w:rsid w:val="00EF3EEA"/>
    <w:rsid w:val="00F02DAF"/>
    <w:rsid w:val="00F05AA7"/>
    <w:rsid w:val="00F05B4D"/>
    <w:rsid w:val="00F05D70"/>
    <w:rsid w:val="00F15A29"/>
    <w:rsid w:val="00F166AF"/>
    <w:rsid w:val="00F173D3"/>
    <w:rsid w:val="00F21780"/>
    <w:rsid w:val="00F21BB5"/>
    <w:rsid w:val="00F2440B"/>
    <w:rsid w:val="00F26B53"/>
    <w:rsid w:val="00F31570"/>
    <w:rsid w:val="00F34057"/>
    <w:rsid w:val="00F40B44"/>
    <w:rsid w:val="00F4121E"/>
    <w:rsid w:val="00F434A6"/>
    <w:rsid w:val="00F43CF1"/>
    <w:rsid w:val="00F44082"/>
    <w:rsid w:val="00F44712"/>
    <w:rsid w:val="00F47059"/>
    <w:rsid w:val="00F53F6E"/>
    <w:rsid w:val="00F5572F"/>
    <w:rsid w:val="00F60E4F"/>
    <w:rsid w:val="00F661E2"/>
    <w:rsid w:val="00F6789A"/>
    <w:rsid w:val="00F67D3E"/>
    <w:rsid w:val="00F702FB"/>
    <w:rsid w:val="00F70483"/>
    <w:rsid w:val="00F82AD2"/>
    <w:rsid w:val="00F83F62"/>
    <w:rsid w:val="00F84026"/>
    <w:rsid w:val="00F8426D"/>
    <w:rsid w:val="00F90554"/>
    <w:rsid w:val="00F95DD5"/>
    <w:rsid w:val="00FA075A"/>
    <w:rsid w:val="00FA3DF8"/>
    <w:rsid w:val="00FA5CB5"/>
    <w:rsid w:val="00FA7DF9"/>
    <w:rsid w:val="00FB6386"/>
    <w:rsid w:val="00FC05C5"/>
    <w:rsid w:val="00FC424E"/>
    <w:rsid w:val="00FC4CD3"/>
    <w:rsid w:val="00FD0433"/>
    <w:rsid w:val="00FD3A16"/>
    <w:rsid w:val="00FD437C"/>
    <w:rsid w:val="00FE02DD"/>
    <w:rsid w:val="00FE4C9C"/>
    <w:rsid w:val="00FE4FF4"/>
    <w:rsid w:val="00FF582F"/>
    <w:rsid w:val="00FF65DB"/>
    <w:rsid w:val="00FF6BB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55"/>
  </w:style>
  <w:style w:type="paragraph" w:styleId="Heading1">
    <w:name w:val="heading 1"/>
    <w:basedOn w:val="Normal"/>
    <w:next w:val="Normal"/>
    <w:link w:val="Heading1Char"/>
    <w:uiPriority w:val="9"/>
    <w:qFormat/>
    <w:rsid w:val="004E175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E175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E175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E175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E175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E175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E175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E175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E175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12DB8"/>
    <w:rPr>
      <w:sz w:val="16"/>
    </w:rPr>
  </w:style>
  <w:style w:type="paragraph" w:styleId="CommentText">
    <w:name w:val="annotation text"/>
    <w:basedOn w:val="Normal"/>
    <w:semiHidden/>
    <w:rsid w:val="00912DB8"/>
  </w:style>
  <w:style w:type="paragraph" w:styleId="Footer">
    <w:name w:val="footer"/>
    <w:basedOn w:val="Normal"/>
    <w:rsid w:val="00912DB8"/>
    <w:pPr>
      <w:tabs>
        <w:tab w:val="center" w:pos="4320"/>
        <w:tab w:val="right" w:pos="8640"/>
      </w:tabs>
    </w:pPr>
  </w:style>
  <w:style w:type="character" w:styleId="PageNumber">
    <w:name w:val="page number"/>
    <w:basedOn w:val="DefaultParagraphFont"/>
    <w:rsid w:val="00912DB8"/>
  </w:style>
  <w:style w:type="paragraph" w:styleId="Header">
    <w:name w:val="header"/>
    <w:basedOn w:val="Normal"/>
    <w:rsid w:val="00912DB8"/>
    <w:pPr>
      <w:tabs>
        <w:tab w:val="center" w:pos="4320"/>
        <w:tab w:val="right" w:pos="8640"/>
      </w:tabs>
    </w:pPr>
  </w:style>
  <w:style w:type="paragraph" w:styleId="BalloonText">
    <w:name w:val="Balloon Text"/>
    <w:basedOn w:val="Normal"/>
    <w:semiHidden/>
    <w:rsid w:val="00912DB8"/>
    <w:rPr>
      <w:rFonts w:ascii="Tahoma" w:hAnsi="Tahoma" w:cs="Tahoma"/>
      <w:sz w:val="16"/>
      <w:szCs w:val="16"/>
    </w:rPr>
  </w:style>
  <w:style w:type="character" w:styleId="Hyperlink">
    <w:name w:val="Hyperlink"/>
    <w:rsid w:val="00FF582F"/>
    <w:rPr>
      <w:color w:val="0000FF"/>
      <w:u w:val="single"/>
    </w:rPr>
  </w:style>
  <w:style w:type="character" w:styleId="FollowedHyperlink">
    <w:name w:val="FollowedHyperlink"/>
    <w:rsid w:val="0035119F"/>
    <w:rPr>
      <w:color w:val="800080"/>
      <w:u w:val="single"/>
    </w:rPr>
  </w:style>
  <w:style w:type="character" w:styleId="Strong">
    <w:name w:val="Strong"/>
    <w:uiPriority w:val="22"/>
    <w:qFormat/>
    <w:rsid w:val="004E1755"/>
    <w:rPr>
      <w:b/>
      <w:bCs/>
    </w:rPr>
  </w:style>
  <w:style w:type="paragraph" w:styleId="ListParagraph">
    <w:name w:val="List Paragraph"/>
    <w:basedOn w:val="Normal"/>
    <w:uiPriority w:val="34"/>
    <w:qFormat/>
    <w:rsid w:val="004E1755"/>
    <w:pPr>
      <w:ind w:left="720"/>
      <w:contextualSpacing/>
    </w:pPr>
  </w:style>
  <w:style w:type="character" w:customStyle="1" w:styleId="apple-converted-space">
    <w:name w:val="apple-converted-space"/>
    <w:basedOn w:val="DefaultParagraphFont"/>
    <w:rsid w:val="005A4958"/>
  </w:style>
  <w:style w:type="paragraph" w:styleId="Title">
    <w:name w:val="Title"/>
    <w:basedOn w:val="Normal"/>
    <w:next w:val="Normal"/>
    <w:link w:val="TitleChar"/>
    <w:uiPriority w:val="10"/>
    <w:qFormat/>
    <w:rsid w:val="004E175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E1755"/>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4E175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E175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E175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E175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E175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E175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E17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E17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E175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08D0"/>
    <w:rPr>
      <w:b/>
      <w:bCs/>
      <w:color w:val="365F91" w:themeColor="accent1" w:themeShade="BF"/>
      <w:sz w:val="16"/>
      <w:szCs w:val="16"/>
    </w:rPr>
  </w:style>
  <w:style w:type="paragraph" w:styleId="Subtitle">
    <w:name w:val="Subtitle"/>
    <w:basedOn w:val="Normal"/>
    <w:next w:val="Normal"/>
    <w:link w:val="SubtitleChar"/>
    <w:uiPriority w:val="11"/>
    <w:qFormat/>
    <w:rsid w:val="004E175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E1755"/>
    <w:rPr>
      <w:rFonts w:asciiTheme="majorHAnsi" w:eastAsiaTheme="majorEastAsia" w:hAnsiTheme="majorHAnsi" w:cstheme="majorBidi"/>
      <w:i/>
      <w:iCs/>
      <w:spacing w:val="13"/>
      <w:sz w:val="24"/>
      <w:szCs w:val="24"/>
    </w:rPr>
  </w:style>
  <w:style w:type="character" w:styleId="Emphasis">
    <w:name w:val="Emphasis"/>
    <w:uiPriority w:val="20"/>
    <w:qFormat/>
    <w:rsid w:val="004E1755"/>
    <w:rPr>
      <w:b/>
      <w:bCs/>
      <w:i/>
      <w:iCs/>
      <w:spacing w:val="10"/>
      <w:bdr w:val="none" w:sz="0" w:space="0" w:color="auto"/>
      <w:shd w:val="clear" w:color="auto" w:fill="auto"/>
    </w:rPr>
  </w:style>
  <w:style w:type="paragraph" w:styleId="NoSpacing">
    <w:name w:val="No Spacing"/>
    <w:basedOn w:val="Normal"/>
    <w:link w:val="NoSpacingChar"/>
    <w:uiPriority w:val="1"/>
    <w:qFormat/>
    <w:rsid w:val="004E1755"/>
    <w:pPr>
      <w:spacing w:after="0" w:line="240" w:lineRule="auto"/>
    </w:pPr>
  </w:style>
  <w:style w:type="character" w:customStyle="1" w:styleId="NoSpacingChar">
    <w:name w:val="No Spacing Char"/>
    <w:basedOn w:val="DefaultParagraphFont"/>
    <w:link w:val="NoSpacing"/>
    <w:uiPriority w:val="1"/>
    <w:rsid w:val="005208D0"/>
  </w:style>
  <w:style w:type="paragraph" w:styleId="Quote">
    <w:name w:val="Quote"/>
    <w:basedOn w:val="Normal"/>
    <w:next w:val="Normal"/>
    <w:link w:val="QuoteChar"/>
    <w:uiPriority w:val="29"/>
    <w:qFormat/>
    <w:rsid w:val="004E1755"/>
    <w:pPr>
      <w:spacing w:before="200" w:after="0"/>
      <w:ind w:left="360" w:right="360"/>
    </w:pPr>
    <w:rPr>
      <w:i/>
      <w:iCs/>
    </w:rPr>
  </w:style>
  <w:style w:type="character" w:customStyle="1" w:styleId="QuoteChar">
    <w:name w:val="Quote Char"/>
    <w:basedOn w:val="DefaultParagraphFont"/>
    <w:link w:val="Quote"/>
    <w:uiPriority w:val="29"/>
    <w:rsid w:val="004E1755"/>
    <w:rPr>
      <w:i/>
      <w:iCs/>
    </w:rPr>
  </w:style>
  <w:style w:type="paragraph" w:styleId="IntenseQuote">
    <w:name w:val="Intense Quote"/>
    <w:basedOn w:val="Normal"/>
    <w:next w:val="Normal"/>
    <w:link w:val="IntenseQuoteChar"/>
    <w:uiPriority w:val="30"/>
    <w:qFormat/>
    <w:rsid w:val="004E175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E1755"/>
    <w:rPr>
      <w:b/>
      <w:bCs/>
      <w:i/>
      <w:iCs/>
    </w:rPr>
  </w:style>
  <w:style w:type="character" w:styleId="SubtleEmphasis">
    <w:name w:val="Subtle Emphasis"/>
    <w:uiPriority w:val="19"/>
    <w:qFormat/>
    <w:rsid w:val="004E1755"/>
    <w:rPr>
      <w:i/>
      <w:iCs/>
    </w:rPr>
  </w:style>
  <w:style w:type="character" w:styleId="IntenseEmphasis">
    <w:name w:val="Intense Emphasis"/>
    <w:uiPriority w:val="21"/>
    <w:qFormat/>
    <w:rsid w:val="004E1755"/>
    <w:rPr>
      <w:b/>
      <w:bCs/>
    </w:rPr>
  </w:style>
  <w:style w:type="character" w:styleId="SubtleReference">
    <w:name w:val="Subtle Reference"/>
    <w:uiPriority w:val="31"/>
    <w:qFormat/>
    <w:rsid w:val="004E1755"/>
    <w:rPr>
      <w:smallCaps/>
    </w:rPr>
  </w:style>
  <w:style w:type="character" w:styleId="IntenseReference">
    <w:name w:val="Intense Reference"/>
    <w:uiPriority w:val="32"/>
    <w:qFormat/>
    <w:rsid w:val="004E1755"/>
    <w:rPr>
      <w:smallCaps/>
      <w:spacing w:val="5"/>
      <w:u w:val="single"/>
    </w:rPr>
  </w:style>
  <w:style w:type="character" w:styleId="BookTitle">
    <w:name w:val="Book Title"/>
    <w:uiPriority w:val="33"/>
    <w:qFormat/>
    <w:rsid w:val="004E1755"/>
    <w:rPr>
      <w:i/>
      <w:iCs/>
      <w:smallCaps/>
      <w:spacing w:val="5"/>
    </w:rPr>
  </w:style>
  <w:style w:type="paragraph" w:styleId="TOCHeading">
    <w:name w:val="TOC Heading"/>
    <w:basedOn w:val="Heading1"/>
    <w:next w:val="Normal"/>
    <w:uiPriority w:val="39"/>
    <w:semiHidden/>
    <w:unhideWhenUsed/>
    <w:qFormat/>
    <w:rsid w:val="004E1755"/>
    <w:pPr>
      <w:outlineLvl w:val="9"/>
    </w:pPr>
  </w:style>
  <w:style w:type="table" w:styleId="TableGrid">
    <w:name w:val="Table Grid"/>
    <w:basedOn w:val="TableNormal"/>
    <w:uiPriority w:val="59"/>
    <w:rsid w:val="000F0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360862">
      <w:bodyDiv w:val="1"/>
      <w:marLeft w:val="0"/>
      <w:marRight w:val="0"/>
      <w:marTop w:val="0"/>
      <w:marBottom w:val="0"/>
      <w:divBdr>
        <w:top w:val="none" w:sz="0" w:space="0" w:color="auto"/>
        <w:left w:val="none" w:sz="0" w:space="0" w:color="auto"/>
        <w:bottom w:val="none" w:sz="0" w:space="0" w:color="auto"/>
        <w:right w:val="none" w:sz="0" w:space="0" w:color="auto"/>
      </w:divBdr>
    </w:div>
    <w:div w:id="232005829">
      <w:bodyDiv w:val="1"/>
      <w:marLeft w:val="0"/>
      <w:marRight w:val="0"/>
      <w:marTop w:val="0"/>
      <w:marBottom w:val="0"/>
      <w:divBdr>
        <w:top w:val="none" w:sz="0" w:space="0" w:color="auto"/>
        <w:left w:val="none" w:sz="0" w:space="0" w:color="auto"/>
        <w:bottom w:val="none" w:sz="0" w:space="0" w:color="auto"/>
        <w:right w:val="none" w:sz="0" w:space="0" w:color="auto"/>
      </w:divBdr>
    </w:div>
    <w:div w:id="481503249">
      <w:bodyDiv w:val="1"/>
      <w:marLeft w:val="0"/>
      <w:marRight w:val="0"/>
      <w:marTop w:val="0"/>
      <w:marBottom w:val="0"/>
      <w:divBdr>
        <w:top w:val="none" w:sz="0" w:space="0" w:color="auto"/>
        <w:left w:val="none" w:sz="0" w:space="0" w:color="auto"/>
        <w:bottom w:val="none" w:sz="0" w:space="0" w:color="auto"/>
        <w:right w:val="none" w:sz="0" w:space="0" w:color="auto"/>
      </w:divBdr>
    </w:div>
    <w:div w:id="866334459">
      <w:bodyDiv w:val="1"/>
      <w:marLeft w:val="0"/>
      <w:marRight w:val="0"/>
      <w:marTop w:val="0"/>
      <w:marBottom w:val="0"/>
      <w:divBdr>
        <w:top w:val="none" w:sz="0" w:space="0" w:color="auto"/>
        <w:left w:val="none" w:sz="0" w:space="0" w:color="auto"/>
        <w:bottom w:val="none" w:sz="0" w:space="0" w:color="auto"/>
        <w:right w:val="none" w:sz="0" w:space="0" w:color="auto"/>
      </w:divBdr>
    </w:div>
    <w:div w:id="921528458">
      <w:bodyDiv w:val="1"/>
      <w:marLeft w:val="0"/>
      <w:marRight w:val="0"/>
      <w:marTop w:val="0"/>
      <w:marBottom w:val="0"/>
      <w:divBdr>
        <w:top w:val="none" w:sz="0" w:space="0" w:color="auto"/>
        <w:left w:val="none" w:sz="0" w:space="0" w:color="auto"/>
        <w:bottom w:val="none" w:sz="0" w:space="0" w:color="auto"/>
        <w:right w:val="none" w:sz="0" w:space="0" w:color="auto"/>
      </w:divBdr>
    </w:div>
    <w:div w:id="1024673697">
      <w:bodyDiv w:val="1"/>
      <w:marLeft w:val="0"/>
      <w:marRight w:val="0"/>
      <w:marTop w:val="0"/>
      <w:marBottom w:val="0"/>
      <w:divBdr>
        <w:top w:val="none" w:sz="0" w:space="0" w:color="auto"/>
        <w:left w:val="none" w:sz="0" w:space="0" w:color="auto"/>
        <w:bottom w:val="none" w:sz="0" w:space="0" w:color="auto"/>
        <w:right w:val="none" w:sz="0" w:space="0" w:color="auto"/>
      </w:divBdr>
    </w:div>
    <w:div w:id="1037852860">
      <w:bodyDiv w:val="1"/>
      <w:marLeft w:val="0"/>
      <w:marRight w:val="0"/>
      <w:marTop w:val="0"/>
      <w:marBottom w:val="0"/>
      <w:divBdr>
        <w:top w:val="none" w:sz="0" w:space="0" w:color="auto"/>
        <w:left w:val="none" w:sz="0" w:space="0" w:color="auto"/>
        <w:bottom w:val="none" w:sz="0" w:space="0" w:color="auto"/>
        <w:right w:val="none" w:sz="0" w:space="0" w:color="auto"/>
      </w:divBdr>
    </w:div>
    <w:div w:id="1118766327">
      <w:bodyDiv w:val="1"/>
      <w:marLeft w:val="0"/>
      <w:marRight w:val="0"/>
      <w:marTop w:val="0"/>
      <w:marBottom w:val="0"/>
      <w:divBdr>
        <w:top w:val="none" w:sz="0" w:space="0" w:color="auto"/>
        <w:left w:val="none" w:sz="0" w:space="0" w:color="auto"/>
        <w:bottom w:val="none" w:sz="0" w:space="0" w:color="auto"/>
        <w:right w:val="none" w:sz="0" w:space="0" w:color="auto"/>
      </w:divBdr>
    </w:div>
    <w:div w:id="1318068867">
      <w:bodyDiv w:val="1"/>
      <w:marLeft w:val="0"/>
      <w:marRight w:val="0"/>
      <w:marTop w:val="0"/>
      <w:marBottom w:val="0"/>
      <w:divBdr>
        <w:top w:val="none" w:sz="0" w:space="0" w:color="auto"/>
        <w:left w:val="none" w:sz="0" w:space="0" w:color="auto"/>
        <w:bottom w:val="none" w:sz="0" w:space="0" w:color="auto"/>
        <w:right w:val="none" w:sz="0" w:space="0" w:color="auto"/>
      </w:divBdr>
    </w:div>
    <w:div w:id="1379085001">
      <w:bodyDiv w:val="1"/>
      <w:marLeft w:val="0"/>
      <w:marRight w:val="0"/>
      <w:marTop w:val="0"/>
      <w:marBottom w:val="0"/>
      <w:divBdr>
        <w:top w:val="none" w:sz="0" w:space="0" w:color="auto"/>
        <w:left w:val="none" w:sz="0" w:space="0" w:color="auto"/>
        <w:bottom w:val="none" w:sz="0" w:space="0" w:color="auto"/>
        <w:right w:val="none" w:sz="0" w:space="0" w:color="auto"/>
      </w:divBdr>
    </w:div>
    <w:div w:id="1515997724">
      <w:bodyDiv w:val="1"/>
      <w:marLeft w:val="0"/>
      <w:marRight w:val="0"/>
      <w:marTop w:val="0"/>
      <w:marBottom w:val="0"/>
      <w:divBdr>
        <w:top w:val="none" w:sz="0" w:space="0" w:color="auto"/>
        <w:left w:val="none" w:sz="0" w:space="0" w:color="auto"/>
        <w:bottom w:val="none" w:sz="0" w:space="0" w:color="auto"/>
        <w:right w:val="none" w:sz="0" w:space="0" w:color="auto"/>
      </w:divBdr>
    </w:div>
    <w:div w:id="1635913041">
      <w:bodyDiv w:val="1"/>
      <w:marLeft w:val="0"/>
      <w:marRight w:val="0"/>
      <w:marTop w:val="0"/>
      <w:marBottom w:val="0"/>
      <w:divBdr>
        <w:top w:val="none" w:sz="0" w:space="0" w:color="auto"/>
        <w:left w:val="none" w:sz="0" w:space="0" w:color="auto"/>
        <w:bottom w:val="none" w:sz="0" w:space="0" w:color="auto"/>
        <w:right w:val="none" w:sz="0" w:space="0" w:color="auto"/>
      </w:divBdr>
    </w:div>
    <w:div w:id="211540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944</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Simcoe County District Health Unit</vt:lpstr>
    </vt:vector>
  </TitlesOfParts>
  <Company>.</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Simcoe County District Health Unit</dc:title>
  <dc:creator>rbarker</dc:creator>
  <cp:lastModifiedBy>Virginia McFarland</cp:lastModifiedBy>
  <cp:revision>12</cp:revision>
  <cp:lastPrinted>2009-02-24T17:48:00Z</cp:lastPrinted>
  <dcterms:created xsi:type="dcterms:W3CDTF">2013-02-27T20:20:00Z</dcterms:created>
  <dcterms:modified xsi:type="dcterms:W3CDTF">2013-03-15T12:39:00Z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-281065534</vt:i4>
  </property>
  <property fmtid="{D5CDD505-2E9C-101B-9397-08002B2CF9AE}" pid="3" name="_NewReviewCycle">
    <vt:lpwstr/>
  </property>
</Properties>
</file>