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BE" w:rsidRPr="00F233B6" w:rsidRDefault="00FF33BE" w:rsidP="00316207">
      <w:pPr>
        <w:spacing w:before="60" w:after="60"/>
        <w:rPr>
          <w:b/>
          <w:color w:val="0000FF"/>
          <w:sz w:val="28"/>
        </w:rPr>
      </w:pPr>
      <w:r>
        <w:rPr>
          <w:b/>
          <w:color w:val="0000FF"/>
          <w:sz w:val="28"/>
        </w:rPr>
        <w:t xml:space="preserve">Core Indicators </w:t>
      </w:r>
      <w:proofErr w:type="gramStart"/>
      <w:r>
        <w:rPr>
          <w:b/>
          <w:color w:val="0000FF"/>
          <w:sz w:val="28"/>
        </w:rPr>
        <w:t>For</w:t>
      </w:r>
      <w:proofErr w:type="gramEnd"/>
      <w:r>
        <w:rPr>
          <w:b/>
          <w:color w:val="0000FF"/>
          <w:sz w:val="28"/>
        </w:rPr>
        <w:t xml:space="preserve"> Public Health In Ontario</w:t>
      </w:r>
    </w:p>
    <w:p w:rsidR="00FF33BE" w:rsidRDefault="00FF33BE" w:rsidP="007D68A9">
      <w:pPr>
        <w:pStyle w:val="Heading1"/>
        <w:spacing w:before="60" w:after="60"/>
        <w:rPr>
          <w:sz w:val="22"/>
          <w:szCs w:val="22"/>
        </w:rPr>
      </w:pPr>
    </w:p>
    <w:p w:rsidR="00FF33BE" w:rsidRPr="00F5636C" w:rsidRDefault="00FF33BE" w:rsidP="007D68A9">
      <w:pPr>
        <w:pStyle w:val="Heading1"/>
        <w:spacing w:before="60" w:after="60"/>
        <w:rPr>
          <w:sz w:val="22"/>
          <w:szCs w:val="22"/>
        </w:rPr>
      </w:pPr>
      <w:r>
        <w:rPr>
          <w:sz w:val="22"/>
          <w:szCs w:val="22"/>
        </w:rPr>
        <w:t xml:space="preserve">Core Indicators Work Group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190"/>
      </w:tblGrid>
      <w:tr w:rsidR="00FF33BE" w:rsidRPr="00F5636C">
        <w:tc>
          <w:tcPr>
            <w:tcW w:w="1530" w:type="dxa"/>
            <w:vAlign w:val="center"/>
          </w:tcPr>
          <w:p w:rsidR="00FF33BE" w:rsidRPr="00F5636C" w:rsidRDefault="00FF33BE" w:rsidP="007D68A9">
            <w:pPr>
              <w:spacing w:before="60" w:after="60"/>
              <w:rPr>
                <w:b/>
                <w:sz w:val="22"/>
                <w:szCs w:val="22"/>
              </w:rPr>
            </w:pPr>
            <w:r w:rsidRPr="00F5636C">
              <w:rPr>
                <w:b/>
                <w:sz w:val="22"/>
                <w:szCs w:val="22"/>
              </w:rPr>
              <w:t>Date:</w:t>
            </w:r>
          </w:p>
        </w:tc>
        <w:tc>
          <w:tcPr>
            <w:tcW w:w="8190" w:type="dxa"/>
            <w:vAlign w:val="center"/>
          </w:tcPr>
          <w:p w:rsidR="00FF33BE" w:rsidRPr="00B0575F" w:rsidRDefault="000A0B2D" w:rsidP="000A0B2D">
            <w:pPr>
              <w:spacing w:before="60" w:after="60"/>
              <w:rPr>
                <w:sz w:val="22"/>
                <w:szCs w:val="22"/>
              </w:rPr>
            </w:pPr>
            <w:r>
              <w:rPr>
                <w:sz w:val="22"/>
                <w:szCs w:val="22"/>
              </w:rPr>
              <w:t>May 1</w:t>
            </w:r>
            <w:r w:rsidR="00FF33BE" w:rsidRPr="00B0575F">
              <w:rPr>
                <w:sz w:val="22"/>
                <w:szCs w:val="22"/>
              </w:rPr>
              <w:t>, 201</w:t>
            </w:r>
            <w:r>
              <w:rPr>
                <w:sz w:val="22"/>
                <w:szCs w:val="22"/>
              </w:rPr>
              <w:t>4</w:t>
            </w:r>
          </w:p>
        </w:tc>
      </w:tr>
      <w:tr w:rsidR="00FF33BE" w:rsidRPr="00F5636C">
        <w:tc>
          <w:tcPr>
            <w:tcW w:w="1530" w:type="dxa"/>
            <w:vAlign w:val="center"/>
          </w:tcPr>
          <w:p w:rsidR="00FF33BE" w:rsidRPr="00F5636C" w:rsidRDefault="00FF33BE" w:rsidP="007D68A9">
            <w:pPr>
              <w:spacing w:before="60" w:after="60"/>
              <w:rPr>
                <w:b/>
                <w:sz w:val="22"/>
                <w:szCs w:val="22"/>
              </w:rPr>
            </w:pPr>
            <w:r w:rsidRPr="00F5636C">
              <w:rPr>
                <w:b/>
                <w:sz w:val="22"/>
                <w:szCs w:val="22"/>
              </w:rPr>
              <w:t>Location:</w:t>
            </w:r>
          </w:p>
        </w:tc>
        <w:tc>
          <w:tcPr>
            <w:tcW w:w="8190" w:type="dxa"/>
            <w:vAlign w:val="center"/>
          </w:tcPr>
          <w:p w:rsidR="00FF33BE" w:rsidRPr="00B0575F" w:rsidRDefault="00FF33BE" w:rsidP="007D68A9">
            <w:pPr>
              <w:pStyle w:val="CommentText"/>
              <w:spacing w:before="60" w:after="60"/>
              <w:rPr>
                <w:color w:val="000000"/>
                <w:sz w:val="22"/>
                <w:szCs w:val="22"/>
              </w:rPr>
            </w:pPr>
            <w:r w:rsidRPr="00B0575F">
              <w:rPr>
                <w:sz w:val="22"/>
                <w:szCs w:val="22"/>
              </w:rPr>
              <w:t>Teleconference</w:t>
            </w:r>
          </w:p>
        </w:tc>
      </w:tr>
      <w:tr w:rsidR="00FF33BE" w:rsidRPr="00F5636C">
        <w:tc>
          <w:tcPr>
            <w:tcW w:w="1530" w:type="dxa"/>
            <w:vAlign w:val="center"/>
          </w:tcPr>
          <w:p w:rsidR="00FF33BE" w:rsidRPr="003001CC" w:rsidRDefault="00FF33BE" w:rsidP="007D68A9">
            <w:pPr>
              <w:spacing w:before="60" w:after="60"/>
              <w:rPr>
                <w:b/>
                <w:sz w:val="22"/>
                <w:szCs w:val="22"/>
              </w:rPr>
            </w:pPr>
            <w:r>
              <w:rPr>
                <w:b/>
                <w:sz w:val="22"/>
                <w:szCs w:val="22"/>
              </w:rPr>
              <w:t>Attendees</w:t>
            </w:r>
            <w:r w:rsidRPr="003001CC">
              <w:rPr>
                <w:b/>
                <w:sz w:val="22"/>
                <w:szCs w:val="22"/>
              </w:rPr>
              <w:t>:</w:t>
            </w:r>
            <w:r w:rsidDel="00621712">
              <w:rPr>
                <w:b/>
                <w:sz w:val="22"/>
                <w:szCs w:val="22"/>
              </w:rPr>
              <w:t xml:space="preserve"> </w:t>
            </w:r>
          </w:p>
        </w:tc>
        <w:tc>
          <w:tcPr>
            <w:tcW w:w="8190" w:type="dxa"/>
            <w:vAlign w:val="center"/>
          </w:tcPr>
          <w:p w:rsidR="00FF33BE" w:rsidRPr="00B0575F" w:rsidRDefault="000A0B2D" w:rsidP="000A0B2D">
            <w:pPr>
              <w:pStyle w:val="CommentText"/>
              <w:rPr>
                <w:sz w:val="22"/>
                <w:szCs w:val="22"/>
              </w:rPr>
            </w:pPr>
            <w:r>
              <w:rPr>
                <w:sz w:val="22"/>
                <w:szCs w:val="22"/>
              </w:rPr>
              <w:t xml:space="preserve">Suzanne Fegan, </w:t>
            </w:r>
            <w:r w:rsidRPr="00B0575F">
              <w:rPr>
                <w:sz w:val="22"/>
                <w:szCs w:val="22"/>
              </w:rPr>
              <w:t>Natalie Greenidge</w:t>
            </w:r>
            <w:r>
              <w:rPr>
                <w:sz w:val="22"/>
                <w:szCs w:val="22"/>
              </w:rPr>
              <w:t xml:space="preserve">, </w:t>
            </w:r>
            <w:r w:rsidR="00FF33BE" w:rsidRPr="00B0575F">
              <w:rPr>
                <w:sz w:val="22"/>
                <w:szCs w:val="22"/>
              </w:rPr>
              <w:t xml:space="preserve">Brenda Guarda, </w:t>
            </w:r>
            <w:r>
              <w:rPr>
                <w:sz w:val="22"/>
                <w:szCs w:val="22"/>
              </w:rPr>
              <w:t>Shanna Hoetmer, Virginia McF</w:t>
            </w:r>
            <w:r w:rsidRPr="00F802C0">
              <w:rPr>
                <w:sz w:val="22"/>
                <w:szCs w:val="22"/>
              </w:rPr>
              <w:t>arland</w:t>
            </w:r>
            <w:r>
              <w:rPr>
                <w:sz w:val="22"/>
                <w:szCs w:val="22"/>
              </w:rPr>
              <w:t>,</w:t>
            </w:r>
            <w:r w:rsidRPr="00B0575F">
              <w:rPr>
                <w:sz w:val="22"/>
                <w:szCs w:val="22"/>
              </w:rPr>
              <w:t xml:space="preserve"> </w:t>
            </w:r>
            <w:r w:rsidR="00FF33BE" w:rsidRPr="00B0575F">
              <w:rPr>
                <w:sz w:val="22"/>
                <w:szCs w:val="22"/>
              </w:rPr>
              <w:t xml:space="preserve">Mary-Anne Pietrusiak, </w:t>
            </w:r>
            <w:r w:rsidR="00875381">
              <w:rPr>
                <w:sz w:val="22"/>
                <w:szCs w:val="22"/>
              </w:rPr>
              <w:t>Sue Bondy</w:t>
            </w:r>
          </w:p>
        </w:tc>
      </w:tr>
      <w:tr w:rsidR="00FF33BE" w:rsidRPr="00F5636C">
        <w:tc>
          <w:tcPr>
            <w:tcW w:w="1530" w:type="dxa"/>
            <w:vAlign w:val="center"/>
          </w:tcPr>
          <w:p w:rsidR="00FF33BE" w:rsidRDefault="00FF33BE" w:rsidP="007D68A9">
            <w:pPr>
              <w:spacing w:before="60" w:after="60"/>
              <w:rPr>
                <w:b/>
                <w:sz w:val="22"/>
                <w:szCs w:val="22"/>
              </w:rPr>
            </w:pPr>
            <w:r>
              <w:rPr>
                <w:b/>
                <w:sz w:val="22"/>
                <w:szCs w:val="22"/>
              </w:rPr>
              <w:t>Regrets:</w:t>
            </w:r>
          </w:p>
        </w:tc>
        <w:tc>
          <w:tcPr>
            <w:tcW w:w="8190" w:type="dxa"/>
            <w:vAlign w:val="center"/>
          </w:tcPr>
          <w:p w:rsidR="00FF33BE" w:rsidRPr="00B0575F" w:rsidRDefault="000A0B2D" w:rsidP="000A0B2D">
            <w:pPr>
              <w:pStyle w:val="CommentText"/>
              <w:spacing w:before="60" w:after="60"/>
              <w:rPr>
                <w:sz w:val="22"/>
                <w:szCs w:val="22"/>
                <w:highlight w:val="yellow"/>
              </w:rPr>
            </w:pPr>
            <w:r w:rsidRPr="00B0575F">
              <w:rPr>
                <w:sz w:val="22"/>
                <w:szCs w:val="22"/>
              </w:rPr>
              <w:t>Sherri Deamond</w:t>
            </w:r>
            <w:r>
              <w:rPr>
                <w:sz w:val="22"/>
                <w:szCs w:val="22"/>
              </w:rPr>
              <w:t>,</w:t>
            </w:r>
            <w:r w:rsidRPr="00B0575F">
              <w:rPr>
                <w:sz w:val="22"/>
                <w:szCs w:val="22"/>
              </w:rPr>
              <w:t xml:space="preserve"> Lawson Greenberg</w:t>
            </w:r>
            <w:r>
              <w:rPr>
                <w:sz w:val="22"/>
                <w:szCs w:val="22"/>
              </w:rPr>
              <w:t xml:space="preserve">, </w:t>
            </w:r>
            <w:r w:rsidRPr="00B0575F">
              <w:rPr>
                <w:sz w:val="22"/>
                <w:szCs w:val="22"/>
              </w:rPr>
              <w:t>Ahalya Mahendra</w:t>
            </w:r>
            <w:r>
              <w:rPr>
                <w:sz w:val="22"/>
                <w:szCs w:val="22"/>
              </w:rPr>
              <w:t>,</w:t>
            </w:r>
            <w:r w:rsidRPr="00B0575F">
              <w:rPr>
                <w:sz w:val="22"/>
                <w:szCs w:val="22"/>
              </w:rPr>
              <w:t xml:space="preserve"> </w:t>
            </w:r>
            <w:r>
              <w:rPr>
                <w:sz w:val="22"/>
                <w:szCs w:val="22"/>
              </w:rPr>
              <w:t>Katherine Russell (on leave)</w:t>
            </w:r>
            <w:r w:rsidR="00FF33BE" w:rsidRPr="00B0575F">
              <w:rPr>
                <w:sz w:val="22"/>
                <w:szCs w:val="22"/>
              </w:rPr>
              <w:t xml:space="preserve"> </w:t>
            </w:r>
          </w:p>
        </w:tc>
      </w:tr>
      <w:tr w:rsidR="00FF33BE" w:rsidRPr="00F5636C">
        <w:tc>
          <w:tcPr>
            <w:tcW w:w="1530" w:type="dxa"/>
            <w:vAlign w:val="center"/>
          </w:tcPr>
          <w:p w:rsidR="00FF33BE" w:rsidRDefault="00FF33BE" w:rsidP="007D68A9">
            <w:pPr>
              <w:spacing w:before="60" w:after="60"/>
              <w:rPr>
                <w:b/>
                <w:sz w:val="22"/>
                <w:szCs w:val="22"/>
              </w:rPr>
            </w:pPr>
            <w:r>
              <w:rPr>
                <w:b/>
                <w:sz w:val="22"/>
                <w:szCs w:val="22"/>
              </w:rPr>
              <w:t>Chair:</w:t>
            </w:r>
          </w:p>
        </w:tc>
        <w:tc>
          <w:tcPr>
            <w:tcW w:w="8190" w:type="dxa"/>
            <w:vAlign w:val="center"/>
          </w:tcPr>
          <w:p w:rsidR="00FF33BE" w:rsidRPr="00A775B2" w:rsidRDefault="000A0B2D" w:rsidP="007D68A9">
            <w:pPr>
              <w:pStyle w:val="CommentText"/>
              <w:spacing w:before="60" w:after="60"/>
              <w:rPr>
                <w:sz w:val="22"/>
                <w:szCs w:val="22"/>
              </w:rPr>
            </w:pPr>
            <w:r w:rsidRPr="00B0575F">
              <w:rPr>
                <w:sz w:val="22"/>
                <w:szCs w:val="22"/>
              </w:rPr>
              <w:t>Suzanne Fegan</w:t>
            </w:r>
          </w:p>
        </w:tc>
      </w:tr>
      <w:tr w:rsidR="00FF33BE" w:rsidRPr="00F5636C">
        <w:tc>
          <w:tcPr>
            <w:tcW w:w="1530" w:type="dxa"/>
            <w:vAlign w:val="center"/>
          </w:tcPr>
          <w:p w:rsidR="00FF33BE" w:rsidRDefault="00FF33BE" w:rsidP="007D68A9">
            <w:pPr>
              <w:spacing w:before="60" w:after="60"/>
              <w:rPr>
                <w:b/>
                <w:sz w:val="22"/>
                <w:szCs w:val="22"/>
              </w:rPr>
            </w:pPr>
            <w:r>
              <w:rPr>
                <w:b/>
                <w:sz w:val="22"/>
                <w:szCs w:val="22"/>
              </w:rPr>
              <w:t>Recorder:</w:t>
            </w:r>
          </w:p>
        </w:tc>
        <w:tc>
          <w:tcPr>
            <w:tcW w:w="8190" w:type="dxa"/>
            <w:vAlign w:val="center"/>
          </w:tcPr>
          <w:p w:rsidR="00FF33BE" w:rsidRPr="000E4F23" w:rsidRDefault="000A0B2D" w:rsidP="007D68A9">
            <w:pPr>
              <w:pStyle w:val="CommentText"/>
              <w:spacing w:before="60" w:after="60"/>
              <w:rPr>
                <w:sz w:val="22"/>
                <w:szCs w:val="22"/>
              </w:rPr>
            </w:pPr>
            <w:r>
              <w:rPr>
                <w:sz w:val="22"/>
                <w:szCs w:val="22"/>
              </w:rPr>
              <w:t>Natalie Greenidge</w:t>
            </w:r>
          </w:p>
        </w:tc>
      </w:tr>
    </w:tbl>
    <w:p w:rsidR="00FF33BE" w:rsidRPr="00B55534" w:rsidRDefault="00FF33BE" w:rsidP="007D68A9">
      <w:pPr>
        <w:spacing w:before="60" w:after="60"/>
        <w:rPr>
          <w:b/>
          <w:sz w:val="12"/>
          <w:szCs w:val="12"/>
        </w:rPr>
      </w:pPr>
    </w:p>
    <w:p w:rsidR="00FF33BE" w:rsidRPr="00296533" w:rsidRDefault="00FF33BE" w:rsidP="007D68A9">
      <w:pPr>
        <w:spacing w:before="60" w:after="60"/>
        <w:rPr>
          <w:b/>
          <w:color w:val="808080"/>
          <w:sz w:val="28"/>
          <w:szCs w:val="28"/>
        </w:rPr>
      </w:pPr>
      <w:r w:rsidRPr="00296533">
        <w:rPr>
          <w:b/>
          <w:sz w:val="28"/>
          <w:szCs w:val="28"/>
        </w:rPr>
        <w:t>Draft Minutes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6297"/>
        <w:gridCol w:w="2789"/>
      </w:tblGrid>
      <w:tr w:rsidR="00FF33BE" w:rsidRPr="00C21075" w:rsidTr="0066361B">
        <w:trPr>
          <w:trHeight w:val="254"/>
          <w:tblHeader/>
        </w:trPr>
        <w:tc>
          <w:tcPr>
            <w:tcW w:w="630" w:type="dxa"/>
            <w:tcMar>
              <w:top w:w="29" w:type="dxa"/>
              <w:left w:w="86" w:type="dxa"/>
              <w:bottom w:w="29" w:type="dxa"/>
              <w:right w:w="86" w:type="dxa"/>
            </w:tcMar>
            <w:vAlign w:val="center"/>
          </w:tcPr>
          <w:p w:rsidR="00FF33BE" w:rsidRPr="00C21075" w:rsidRDefault="00FF33BE" w:rsidP="00A8407B">
            <w:pPr>
              <w:spacing w:before="60" w:after="60"/>
              <w:rPr>
                <w:rFonts w:cs="Arial"/>
                <w:sz w:val="22"/>
                <w:szCs w:val="22"/>
              </w:rPr>
            </w:pPr>
          </w:p>
        </w:tc>
        <w:tc>
          <w:tcPr>
            <w:tcW w:w="6297" w:type="dxa"/>
            <w:tcMar>
              <w:top w:w="29" w:type="dxa"/>
              <w:left w:w="86" w:type="dxa"/>
              <w:bottom w:w="29" w:type="dxa"/>
              <w:right w:w="86" w:type="dxa"/>
            </w:tcMar>
            <w:vAlign w:val="center"/>
          </w:tcPr>
          <w:p w:rsidR="00FF33BE" w:rsidRPr="00DB5ABB" w:rsidRDefault="00FF33BE" w:rsidP="00A8407B">
            <w:pPr>
              <w:spacing w:before="60" w:after="60"/>
              <w:jc w:val="center"/>
              <w:rPr>
                <w:rFonts w:cs="Arial"/>
                <w:sz w:val="22"/>
                <w:szCs w:val="22"/>
              </w:rPr>
            </w:pPr>
            <w:r w:rsidRPr="00DB5ABB">
              <w:rPr>
                <w:rFonts w:cs="Arial"/>
                <w:b/>
                <w:sz w:val="22"/>
                <w:szCs w:val="22"/>
              </w:rPr>
              <w:t>Item</w:t>
            </w:r>
          </w:p>
        </w:tc>
        <w:tc>
          <w:tcPr>
            <w:tcW w:w="2789" w:type="dxa"/>
            <w:tcMar>
              <w:top w:w="29" w:type="dxa"/>
              <w:left w:w="86" w:type="dxa"/>
              <w:bottom w:w="29" w:type="dxa"/>
              <w:right w:w="86" w:type="dxa"/>
            </w:tcMar>
            <w:vAlign w:val="center"/>
          </w:tcPr>
          <w:p w:rsidR="00FF33BE" w:rsidRPr="00DB5ABB" w:rsidRDefault="00FF33BE" w:rsidP="00A8407B">
            <w:pPr>
              <w:spacing w:before="60" w:after="60"/>
              <w:jc w:val="center"/>
              <w:rPr>
                <w:rFonts w:cs="Arial"/>
                <w:b/>
                <w:sz w:val="22"/>
                <w:szCs w:val="22"/>
              </w:rPr>
            </w:pPr>
            <w:r w:rsidRPr="00DB5ABB">
              <w:rPr>
                <w:rFonts w:cs="Arial"/>
                <w:b/>
                <w:sz w:val="22"/>
                <w:szCs w:val="22"/>
              </w:rPr>
              <w:t>Action</w:t>
            </w:r>
          </w:p>
        </w:tc>
      </w:tr>
      <w:tr w:rsidR="00FF33BE" w:rsidRPr="00C644DA">
        <w:trPr>
          <w:trHeight w:val="254"/>
        </w:trPr>
        <w:tc>
          <w:tcPr>
            <w:tcW w:w="630" w:type="dxa"/>
            <w:tcMar>
              <w:top w:w="29" w:type="dxa"/>
              <w:left w:w="86" w:type="dxa"/>
              <w:bottom w:w="29" w:type="dxa"/>
              <w:right w:w="86" w:type="dxa"/>
            </w:tcMar>
          </w:tcPr>
          <w:p w:rsidR="00FF33BE" w:rsidRPr="00C644DA" w:rsidRDefault="00FF33BE" w:rsidP="00D77AF2">
            <w:pPr>
              <w:rPr>
                <w:rFonts w:cs="Arial"/>
                <w:b/>
                <w:sz w:val="22"/>
                <w:szCs w:val="22"/>
              </w:rPr>
            </w:pPr>
            <w:r w:rsidRPr="00C644DA">
              <w:rPr>
                <w:rFonts w:cs="Arial"/>
                <w:b/>
                <w:sz w:val="22"/>
                <w:szCs w:val="22"/>
              </w:rPr>
              <w:t>1.0</w:t>
            </w:r>
          </w:p>
        </w:tc>
        <w:tc>
          <w:tcPr>
            <w:tcW w:w="6297" w:type="dxa"/>
            <w:tcMar>
              <w:top w:w="29" w:type="dxa"/>
              <w:left w:w="86" w:type="dxa"/>
              <w:bottom w:w="29" w:type="dxa"/>
              <w:right w:w="86" w:type="dxa"/>
            </w:tcMar>
          </w:tcPr>
          <w:p w:rsidR="00FF33BE" w:rsidRDefault="00FF33BE" w:rsidP="00D77AF2">
            <w:pPr>
              <w:pStyle w:val="Heading1"/>
              <w:rPr>
                <w:rFonts w:cs="Arial"/>
                <w:sz w:val="22"/>
                <w:szCs w:val="22"/>
              </w:rPr>
            </w:pPr>
            <w:r w:rsidRPr="00C644DA">
              <w:rPr>
                <w:rFonts w:cs="Arial"/>
                <w:sz w:val="22"/>
                <w:szCs w:val="22"/>
              </w:rPr>
              <w:t xml:space="preserve">Review of Agenda  </w:t>
            </w:r>
          </w:p>
          <w:p w:rsidR="00FF33BE" w:rsidRPr="001977D5" w:rsidRDefault="00E025A2" w:rsidP="000A0B2D">
            <w:r>
              <w:t>Six</w:t>
            </w:r>
            <w:r w:rsidR="000A0B2D">
              <w:t xml:space="preserve"> a</w:t>
            </w:r>
            <w:r w:rsidR="00DE11A1">
              <w:t>dditions to the agenda</w:t>
            </w:r>
            <w:r w:rsidR="000A0B2D">
              <w:t xml:space="preserve"> (items </w:t>
            </w:r>
            <w:r>
              <w:t>4.4 – 4.9)</w:t>
            </w:r>
          </w:p>
        </w:tc>
        <w:tc>
          <w:tcPr>
            <w:tcW w:w="2789" w:type="dxa"/>
            <w:tcMar>
              <w:top w:w="29" w:type="dxa"/>
              <w:left w:w="86" w:type="dxa"/>
              <w:bottom w:w="29" w:type="dxa"/>
              <w:right w:w="86" w:type="dxa"/>
            </w:tcMar>
          </w:tcPr>
          <w:p w:rsidR="00FF33BE" w:rsidRPr="00C644DA" w:rsidRDefault="00FF33BE" w:rsidP="00316207">
            <w:pPr>
              <w:tabs>
                <w:tab w:val="num" w:pos="-86"/>
              </w:tabs>
              <w:rPr>
                <w:rFonts w:cs="Arial"/>
                <w:b/>
                <w:sz w:val="22"/>
                <w:szCs w:val="22"/>
              </w:rPr>
            </w:pPr>
          </w:p>
        </w:tc>
      </w:tr>
      <w:tr w:rsidR="00FF33BE" w:rsidRPr="00C644DA">
        <w:trPr>
          <w:trHeight w:val="254"/>
        </w:trPr>
        <w:tc>
          <w:tcPr>
            <w:tcW w:w="630" w:type="dxa"/>
            <w:tcMar>
              <w:top w:w="29" w:type="dxa"/>
              <w:left w:w="86" w:type="dxa"/>
              <w:bottom w:w="29" w:type="dxa"/>
              <w:right w:w="86" w:type="dxa"/>
            </w:tcMar>
          </w:tcPr>
          <w:p w:rsidR="00FF33BE" w:rsidRPr="00C644DA" w:rsidRDefault="00FF33BE" w:rsidP="00D77AF2">
            <w:pPr>
              <w:rPr>
                <w:rFonts w:cs="Arial"/>
                <w:b/>
                <w:sz w:val="22"/>
                <w:szCs w:val="22"/>
              </w:rPr>
            </w:pPr>
            <w:r w:rsidRPr="00C644DA">
              <w:rPr>
                <w:rFonts w:cs="Arial"/>
                <w:b/>
                <w:sz w:val="22"/>
                <w:szCs w:val="22"/>
              </w:rPr>
              <w:t>2.0</w:t>
            </w:r>
          </w:p>
        </w:tc>
        <w:tc>
          <w:tcPr>
            <w:tcW w:w="6297" w:type="dxa"/>
            <w:tcMar>
              <w:top w:w="29" w:type="dxa"/>
              <w:left w:w="86" w:type="dxa"/>
              <w:bottom w:w="29" w:type="dxa"/>
              <w:right w:w="86" w:type="dxa"/>
            </w:tcMar>
          </w:tcPr>
          <w:p w:rsidR="00FF33BE" w:rsidRDefault="00FF33BE" w:rsidP="001977D5">
            <w:pPr>
              <w:rPr>
                <w:rFonts w:cs="Arial"/>
                <w:b/>
                <w:sz w:val="22"/>
                <w:szCs w:val="22"/>
              </w:rPr>
            </w:pPr>
            <w:r w:rsidRPr="00C644DA">
              <w:rPr>
                <w:rFonts w:cs="Arial"/>
                <w:b/>
                <w:sz w:val="22"/>
                <w:szCs w:val="22"/>
              </w:rPr>
              <w:t xml:space="preserve">Review of Minutes </w:t>
            </w:r>
            <w:r>
              <w:rPr>
                <w:rFonts w:cs="Arial"/>
                <w:b/>
                <w:sz w:val="22"/>
                <w:szCs w:val="22"/>
              </w:rPr>
              <w:t>– October 12</w:t>
            </w:r>
            <w:r w:rsidRPr="00623AE6">
              <w:rPr>
                <w:rFonts w:cs="Arial"/>
                <w:b/>
                <w:sz w:val="22"/>
                <w:szCs w:val="22"/>
              </w:rPr>
              <w:t>, 201</w:t>
            </w:r>
            <w:r>
              <w:rPr>
                <w:rFonts w:cs="Arial"/>
                <w:b/>
                <w:sz w:val="22"/>
                <w:szCs w:val="22"/>
              </w:rPr>
              <w:t>2</w:t>
            </w:r>
          </w:p>
          <w:p w:rsidR="00FF33BE" w:rsidRPr="00C644DA" w:rsidRDefault="00FF33BE" w:rsidP="001977D5">
            <w:pPr>
              <w:rPr>
                <w:rFonts w:cs="Arial"/>
                <w:b/>
                <w:sz w:val="22"/>
                <w:szCs w:val="22"/>
              </w:rPr>
            </w:pPr>
            <w:r>
              <w:rPr>
                <w:rFonts w:cs="Arial"/>
                <w:sz w:val="22"/>
                <w:szCs w:val="22"/>
              </w:rPr>
              <w:t>No additions or amendments. Minutes approved by acclamation.</w:t>
            </w:r>
          </w:p>
        </w:tc>
        <w:tc>
          <w:tcPr>
            <w:tcW w:w="2789" w:type="dxa"/>
            <w:tcMar>
              <w:top w:w="29" w:type="dxa"/>
              <w:left w:w="86" w:type="dxa"/>
              <w:bottom w:w="29" w:type="dxa"/>
              <w:right w:w="86" w:type="dxa"/>
            </w:tcMar>
          </w:tcPr>
          <w:p w:rsidR="00FF33BE" w:rsidRPr="004802DF" w:rsidRDefault="00E025A2" w:rsidP="004802DF">
            <w:pPr>
              <w:rPr>
                <w:rFonts w:cs="Arial"/>
                <w:sz w:val="22"/>
                <w:szCs w:val="22"/>
              </w:rPr>
            </w:pPr>
            <w:r>
              <w:rPr>
                <w:rFonts w:cs="Arial"/>
                <w:sz w:val="22"/>
                <w:szCs w:val="22"/>
              </w:rPr>
              <w:t>Suzanne</w:t>
            </w:r>
            <w:r w:rsidR="00FF33BE" w:rsidRPr="004802DF">
              <w:rPr>
                <w:rFonts w:cs="Arial"/>
                <w:sz w:val="22"/>
                <w:szCs w:val="22"/>
              </w:rPr>
              <w:t xml:space="preserve"> will post </w:t>
            </w:r>
            <w:r w:rsidR="00FF33BE">
              <w:rPr>
                <w:rFonts w:cs="Arial"/>
                <w:sz w:val="22"/>
                <w:szCs w:val="22"/>
              </w:rPr>
              <w:t xml:space="preserve">the minutes </w:t>
            </w:r>
            <w:r w:rsidR="00FF33BE" w:rsidRPr="004802DF">
              <w:rPr>
                <w:rFonts w:cs="Arial"/>
                <w:sz w:val="22"/>
                <w:szCs w:val="22"/>
              </w:rPr>
              <w:t xml:space="preserve">on </w:t>
            </w:r>
            <w:r w:rsidR="00FF33BE">
              <w:rPr>
                <w:rFonts w:cs="Arial"/>
                <w:sz w:val="22"/>
                <w:szCs w:val="22"/>
              </w:rPr>
              <w:t xml:space="preserve">the </w:t>
            </w:r>
            <w:r w:rsidR="00FF33BE" w:rsidRPr="004802DF">
              <w:rPr>
                <w:rFonts w:cs="Arial"/>
                <w:sz w:val="22"/>
                <w:szCs w:val="22"/>
              </w:rPr>
              <w:t>APHEO website.</w:t>
            </w:r>
          </w:p>
        </w:tc>
      </w:tr>
      <w:tr w:rsidR="00FF33BE" w:rsidRPr="00D77AF2">
        <w:trPr>
          <w:trHeight w:val="254"/>
        </w:trPr>
        <w:tc>
          <w:tcPr>
            <w:tcW w:w="630" w:type="dxa"/>
            <w:tcMar>
              <w:top w:w="29" w:type="dxa"/>
              <w:left w:w="86" w:type="dxa"/>
              <w:bottom w:w="29" w:type="dxa"/>
              <w:right w:w="86" w:type="dxa"/>
            </w:tcMar>
          </w:tcPr>
          <w:p w:rsidR="00FF33BE" w:rsidRPr="00D77AF2" w:rsidRDefault="00FF33BE" w:rsidP="00D77AF2">
            <w:pPr>
              <w:rPr>
                <w:rFonts w:cs="Arial"/>
                <w:b/>
                <w:color w:val="000000"/>
                <w:sz w:val="22"/>
                <w:szCs w:val="22"/>
              </w:rPr>
            </w:pPr>
            <w:r w:rsidRPr="00D77AF2">
              <w:rPr>
                <w:rFonts w:cs="Arial"/>
                <w:b/>
                <w:color w:val="000000"/>
                <w:sz w:val="22"/>
                <w:szCs w:val="22"/>
              </w:rPr>
              <w:t>3.0</w:t>
            </w:r>
          </w:p>
        </w:tc>
        <w:tc>
          <w:tcPr>
            <w:tcW w:w="6297" w:type="dxa"/>
            <w:tcMar>
              <w:top w:w="29" w:type="dxa"/>
              <w:left w:w="86" w:type="dxa"/>
              <w:bottom w:w="29" w:type="dxa"/>
              <w:right w:w="86" w:type="dxa"/>
            </w:tcMar>
          </w:tcPr>
          <w:p w:rsidR="00FF33BE" w:rsidRPr="00D77AF2" w:rsidRDefault="00FF33BE" w:rsidP="00D77AF2">
            <w:pPr>
              <w:rPr>
                <w:rFonts w:cs="Arial"/>
                <w:b/>
                <w:color w:val="000000"/>
                <w:sz w:val="22"/>
                <w:szCs w:val="22"/>
              </w:rPr>
            </w:pPr>
            <w:r w:rsidRPr="00D77AF2">
              <w:rPr>
                <w:rFonts w:cs="Arial"/>
                <w:b/>
                <w:color w:val="000000"/>
                <w:sz w:val="22"/>
                <w:szCs w:val="22"/>
              </w:rPr>
              <w:t>Business Arising</w:t>
            </w:r>
            <w:r>
              <w:rPr>
                <w:rFonts w:cs="Arial"/>
                <w:b/>
                <w:color w:val="000000"/>
                <w:sz w:val="22"/>
                <w:szCs w:val="22"/>
              </w:rPr>
              <w:t xml:space="preserve"> from Last Minutes</w:t>
            </w:r>
          </w:p>
        </w:tc>
        <w:tc>
          <w:tcPr>
            <w:tcW w:w="2789" w:type="dxa"/>
            <w:tcMar>
              <w:top w:w="29" w:type="dxa"/>
              <w:left w:w="86" w:type="dxa"/>
              <w:bottom w:w="29" w:type="dxa"/>
              <w:right w:w="86" w:type="dxa"/>
            </w:tcMar>
          </w:tcPr>
          <w:p w:rsidR="00FF33BE" w:rsidRPr="00D77AF2" w:rsidRDefault="00FF33BE" w:rsidP="00D77AF2">
            <w:pPr>
              <w:ind w:left="101"/>
              <w:rPr>
                <w:rFonts w:cs="Arial"/>
                <w:color w:val="000000"/>
                <w:sz w:val="22"/>
                <w:szCs w:val="22"/>
              </w:rPr>
            </w:pPr>
          </w:p>
        </w:tc>
      </w:tr>
      <w:tr w:rsidR="003A421B" w:rsidRPr="00D77AF2">
        <w:trPr>
          <w:trHeight w:val="254"/>
        </w:trPr>
        <w:tc>
          <w:tcPr>
            <w:tcW w:w="630" w:type="dxa"/>
            <w:tcMar>
              <w:top w:w="29" w:type="dxa"/>
              <w:left w:w="86" w:type="dxa"/>
              <w:bottom w:w="29" w:type="dxa"/>
              <w:right w:w="86" w:type="dxa"/>
            </w:tcMar>
          </w:tcPr>
          <w:p w:rsidR="003A421B" w:rsidRPr="00621712" w:rsidRDefault="00AD106A" w:rsidP="00AD106A">
            <w:pPr>
              <w:jc w:val="center"/>
              <w:rPr>
                <w:rFonts w:cs="Arial"/>
                <w:sz w:val="22"/>
                <w:szCs w:val="22"/>
              </w:rPr>
            </w:pPr>
            <w:r>
              <w:rPr>
                <w:rFonts w:cs="Arial"/>
                <w:sz w:val="22"/>
                <w:szCs w:val="22"/>
              </w:rPr>
              <w:t>3.1</w:t>
            </w:r>
          </w:p>
        </w:tc>
        <w:tc>
          <w:tcPr>
            <w:tcW w:w="6297" w:type="dxa"/>
            <w:tcMar>
              <w:top w:w="29" w:type="dxa"/>
              <w:left w:w="86" w:type="dxa"/>
              <w:bottom w:w="29" w:type="dxa"/>
              <w:right w:w="86" w:type="dxa"/>
            </w:tcMar>
          </w:tcPr>
          <w:p w:rsidR="003A421B" w:rsidRPr="001977D5" w:rsidRDefault="00E025A2" w:rsidP="00005109">
            <w:pPr>
              <w:rPr>
                <w:rFonts w:cs="Arial"/>
                <w:b/>
                <w:sz w:val="22"/>
                <w:szCs w:val="22"/>
              </w:rPr>
            </w:pPr>
            <w:r>
              <w:rPr>
                <w:rFonts w:cs="Arial"/>
                <w:b/>
                <w:sz w:val="22"/>
                <w:szCs w:val="22"/>
              </w:rPr>
              <w:t>Thank-you letters</w:t>
            </w:r>
          </w:p>
          <w:p w:rsidR="003A421B" w:rsidRDefault="00126EEE" w:rsidP="00005109">
            <w:pPr>
              <w:rPr>
                <w:rFonts w:cs="Arial"/>
                <w:sz w:val="22"/>
                <w:szCs w:val="22"/>
              </w:rPr>
            </w:pPr>
            <w:r>
              <w:rPr>
                <w:rFonts w:cs="Arial"/>
                <w:sz w:val="22"/>
                <w:szCs w:val="22"/>
              </w:rPr>
              <w:t xml:space="preserve">Brenda has a list of individuals who should be sent thank-you letters. </w:t>
            </w:r>
            <w:r w:rsidR="003A421B">
              <w:rPr>
                <w:rFonts w:cs="Arial"/>
                <w:sz w:val="22"/>
                <w:szCs w:val="22"/>
              </w:rPr>
              <w:t xml:space="preserve"> </w:t>
            </w:r>
          </w:p>
        </w:tc>
        <w:tc>
          <w:tcPr>
            <w:tcW w:w="2789" w:type="dxa"/>
            <w:tcMar>
              <w:top w:w="29" w:type="dxa"/>
              <w:left w:w="86" w:type="dxa"/>
              <w:bottom w:w="29" w:type="dxa"/>
              <w:right w:w="86" w:type="dxa"/>
            </w:tcMar>
          </w:tcPr>
          <w:p w:rsidR="003A421B" w:rsidRDefault="00126EEE" w:rsidP="00005109">
            <w:pPr>
              <w:rPr>
                <w:rFonts w:cs="Arial"/>
                <w:sz w:val="22"/>
                <w:szCs w:val="22"/>
              </w:rPr>
            </w:pPr>
            <w:r>
              <w:rPr>
                <w:rFonts w:cs="Arial"/>
                <w:sz w:val="22"/>
                <w:szCs w:val="22"/>
              </w:rPr>
              <w:t xml:space="preserve">Brenda will Liaise with Shanna re: sending thank-you letters to </w:t>
            </w:r>
            <w:r w:rsidR="001E7732">
              <w:rPr>
                <w:rFonts w:cs="Arial"/>
                <w:sz w:val="22"/>
                <w:szCs w:val="22"/>
              </w:rPr>
              <w:t xml:space="preserve">identified </w:t>
            </w:r>
            <w:r>
              <w:rPr>
                <w:rFonts w:cs="Arial"/>
                <w:sz w:val="22"/>
                <w:szCs w:val="22"/>
              </w:rPr>
              <w:t>recipients.</w:t>
            </w:r>
          </w:p>
          <w:p w:rsidR="003A421B" w:rsidRDefault="003A421B" w:rsidP="00005109">
            <w:pPr>
              <w:rPr>
                <w:rFonts w:cs="Arial"/>
                <w:color w:val="000000"/>
                <w:sz w:val="22"/>
                <w:szCs w:val="22"/>
              </w:rPr>
            </w:pPr>
          </w:p>
        </w:tc>
      </w:tr>
      <w:tr w:rsidR="003A421B" w:rsidRPr="00D77AF2">
        <w:trPr>
          <w:trHeight w:val="254"/>
        </w:trPr>
        <w:tc>
          <w:tcPr>
            <w:tcW w:w="630" w:type="dxa"/>
            <w:tcMar>
              <w:top w:w="29" w:type="dxa"/>
              <w:left w:w="86" w:type="dxa"/>
              <w:bottom w:w="29" w:type="dxa"/>
              <w:right w:w="86" w:type="dxa"/>
            </w:tcMar>
          </w:tcPr>
          <w:p w:rsidR="003A421B" w:rsidRDefault="00AD106A" w:rsidP="00622624">
            <w:pPr>
              <w:jc w:val="center"/>
              <w:rPr>
                <w:rFonts w:cs="Arial"/>
                <w:sz w:val="22"/>
                <w:szCs w:val="22"/>
              </w:rPr>
            </w:pPr>
            <w:r>
              <w:rPr>
                <w:rFonts w:cs="Arial"/>
                <w:sz w:val="22"/>
                <w:szCs w:val="22"/>
              </w:rPr>
              <w:t>3.</w:t>
            </w:r>
            <w:r w:rsidR="00622624">
              <w:rPr>
                <w:rFonts w:cs="Arial"/>
                <w:sz w:val="22"/>
                <w:szCs w:val="22"/>
              </w:rPr>
              <w:t>2</w:t>
            </w:r>
          </w:p>
        </w:tc>
        <w:tc>
          <w:tcPr>
            <w:tcW w:w="6297" w:type="dxa"/>
            <w:tcMar>
              <w:top w:w="29" w:type="dxa"/>
              <w:left w:w="86" w:type="dxa"/>
              <w:bottom w:w="29" w:type="dxa"/>
              <w:right w:w="86" w:type="dxa"/>
            </w:tcMar>
          </w:tcPr>
          <w:p w:rsidR="003A421B" w:rsidRPr="001977D5" w:rsidRDefault="003A421B" w:rsidP="00005109">
            <w:pPr>
              <w:keepNext/>
              <w:keepLines/>
              <w:rPr>
                <w:rFonts w:cs="Arial"/>
                <w:b/>
                <w:sz w:val="22"/>
                <w:szCs w:val="22"/>
              </w:rPr>
            </w:pPr>
            <w:r w:rsidRPr="001977D5">
              <w:rPr>
                <w:rFonts w:cs="Arial"/>
                <w:b/>
                <w:sz w:val="22"/>
                <w:szCs w:val="22"/>
              </w:rPr>
              <w:t>Establishing a pool of reviewers with content expertise for Core Indicator review</w:t>
            </w:r>
          </w:p>
          <w:p w:rsidR="003A421B" w:rsidRPr="001977D5" w:rsidRDefault="003A421B" w:rsidP="00622624">
            <w:pPr>
              <w:keepNext/>
              <w:keepLines/>
              <w:rPr>
                <w:rFonts w:cs="Arial"/>
                <w:b/>
                <w:sz w:val="22"/>
                <w:szCs w:val="22"/>
              </w:rPr>
            </w:pPr>
            <w:r>
              <w:rPr>
                <w:rFonts w:cs="Arial"/>
                <w:sz w:val="22"/>
                <w:szCs w:val="22"/>
              </w:rPr>
              <w:t>Still outstanding</w:t>
            </w:r>
            <w:r w:rsidR="00622624">
              <w:rPr>
                <w:rFonts w:cs="Arial"/>
                <w:sz w:val="22"/>
                <w:szCs w:val="22"/>
              </w:rPr>
              <w:t>.</w:t>
            </w:r>
          </w:p>
        </w:tc>
        <w:tc>
          <w:tcPr>
            <w:tcW w:w="2789" w:type="dxa"/>
            <w:tcMar>
              <w:top w:w="29" w:type="dxa"/>
              <w:left w:w="86" w:type="dxa"/>
              <w:bottom w:w="29" w:type="dxa"/>
              <w:right w:w="86" w:type="dxa"/>
            </w:tcMar>
          </w:tcPr>
          <w:p w:rsidR="003A421B" w:rsidRDefault="00622624" w:rsidP="00622624">
            <w:pPr>
              <w:keepNext/>
              <w:keepLines/>
              <w:rPr>
                <w:rFonts w:cs="Arial"/>
                <w:sz w:val="22"/>
                <w:szCs w:val="22"/>
              </w:rPr>
            </w:pPr>
            <w:r>
              <w:rPr>
                <w:rFonts w:cs="Arial"/>
                <w:sz w:val="22"/>
                <w:szCs w:val="22"/>
              </w:rPr>
              <w:t>Suzanne will</w:t>
            </w:r>
            <w:r w:rsidR="003A421B">
              <w:rPr>
                <w:rFonts w:cs="Arial"/>
                <w:sz w:val="22"/>
                <w:szCs w:val="22"/>
              </w:rPr>
              <w:t xml:space="preserve"> follow up with Cam.</w:t>
            </w:r>
          </w:p>
        </w:tc>
      </w:tr>
      <w:tr w:rsidR="003A421B" w:rsidRPr="00D77AF2">
        <w:trPr>
          <w:trHeight w:val="254"/>
        </w:trPr>
        <w:tc>
          <w:tcPr>
            <w:tcW w:w="630" w:type="dxa"/>
            <w:tcMar>
              <w:top w:w="29" w:type="dxa"/>
              <w:left w:w="86" w:type="dxa"/>
              <w:bottom w:w="29" w:type="dxa"/>
              <w:right w:w="86" w:type="dxa"/>
            </w:tcMar>
          </w:tcPr>
          <w:p w:rsidR="003A421B" w:rsidRDefault="00AD106A" w:rsidP="00622624">
            <w:pPr>
              <w:jc w:val="right"/>
              <w:rPr>
                <w:rFonts w:cs="Arial"/>
                <w:sz w:val="22"/>
                <w:szCs w:val="22"/>
              </w:rPr>
            </w:pPr>
            <w:r>
              <w:rPr>
                <w:rFonts w:cs="Arial"/>
                <w:sz w:val="22"/>
                <w:szCs w:val="22"/>
              </w:rPr>
              <w:t>3.</w:t>
            </w:r>
            <w:r w:rsidR="00622624">
              <w:rPr>
                <w:rFonts w:cs="Arial"/>
                <w:sz w:val="22"/>
                <w:szCs w:val="22"/>
              </w:rPr>
              <w:t>3</w:t>
            </w:r>
          </w:p>
        </w:tc>
        <w:tc>
          <w:tcPr>
            <w:tcW w:w="6297" w:type="dxa"/>
            <w:tcMar>
              <w:top w:w="29" w:type="dxa"/>
              <w:left w:w="86" w:type="dxa"/>
              <w:bottom w:w="29" w:type="dxa"/>
              <w:right w:w="86" w:type="dxa"/>
            </w:tcMar>
          </w:tcPr>
          <w:p w:rsidR="003A421B" w:rsidRPr="001977D5" w:rsidRDefault="003A421B" w:rsidP="00005109">
            <w:pPr>
              <w:rPr>
                <w:rFonts w:cs="Arial"/>
                <w:b/>
                <w:sz w:val="22"/>
                <w:szCs w:val="22"/>
              </w:rPr>
            </w:pPr>
            <w:r w:rsidRPr="001977D5">
              <w:rPr>
                <w:rFonts w:cs="Arial"/>
                <w:b/>
                <w:sz w:val="22"/>
                <w:szCs w:val="22"/>
              </w:rPr>
              <w:t>PHO Contract Epidemiologist position for Core Indicators</w:t>
            </w:r>
          </w:p>
          <w:p w:rsidR="003A421B" w:rsidRPr="00D52F48" w:rsidRDefault="00622624" w:rsidP="00C6397F">
            <w:pPr>
              <w:rPr>
                <w:rFonts w:cs="Arial"/>
                <w:sz w:val="22"/>
                <w:szCs w:val="22"/>
              </w:rPr>
            </w:pPr>
            <w:r>
              <w:rPr>
                <w:rFonts w:cs="Arial"/>
                <w:sz w:val="22"/>
                <w:szCs w:val="22"/>
              </w:rPr>
              <w:t>In the fall of 2013, APHEO leadership</w:t>
            </w:r>
            <w:r w:rsidR="00126EEE">
              <w:rPr>
                <w:rFonts w:cs="Arial"/>
                <w:sz w:val="22"/>
                <w:szCs w:val="22"/>
              </w:rPr>
              <w:t xml:space="preserve"> planned to draft a letter in support of an ongoing PHO contract epidemiologist position for Core Indicators</w:t>
            </w:r>
            <w:r>
              <w:rPr>
                <w:rFonts w:cs="Arial"/>
                <w:sz w:val="22"/>
                <w:szCs w:val="22"/>
              </w:rPr>
              <w:t xml:space="preserve">. </w:t>
            </w:r>
            <w:r w:rsidR="00662744">
              <w:rPr>
                <w:rFonts w:cs="Arial"/>
                <w:sz w:val="22"/>
                <w:szCs w:val="22"/>
              </w:rPr>
              <w:t>Unsure whether the letter was</w:t>
            </w:r>
            <w:r>
              <w:rPr>
                <w:rFonts w:cs="Arial"/>
                <w:sz w:val="22"/>
                <w:szCs w:val="22"/>
              </w:rPr>
              <w:t xml:space="preserve"> sent</w:t>
            </w:r>
            <w:r w:rsidR="00662744">
              <w:rPr>
                <w:rFonts w:cs="Arial"/>
                <w:sz w:val="22"/>
                <w:szCs w:val="22"/>
              </w:rPr>
              <w:t xml:space="preserve"> to PHO</w:t>
            </w:r>
            <w:r>
              <w:rPr>
                <w:rFonts w:cs="Arial"/>
                <w:sz w:val="22"/>
                <w:szCs w:val="22"/>
              </w:rPr>
              <w:t xml:space="preserve"> senior management.</w:t>
            </w:r>
            <w:r w:rsidR="00662744">
              <w:rPr>
                <w:rFonts w:cs="Arial"/>
                <w:sz w:val="22"/>
                <w:szCs w:val="22"/>
              </w:rPr>
              <w:t xml:space="preserve"> </w:t>
            </w:r>
            <w:r w:rsidR="00126EEE">
              <w:rPr>
                <w:rFonts w:cs="Arial"/>
                <w:sz w:val="22"/>
                <w:szCs w:val="22"/>
              </w:rPr>
              <w:t xml:space="preserve">Natalie’s </w:t>
            </w:r>
            <w:r w:rsidR="00662744">
              <w:rPr>
                <w:rFonts w:cs="Arial"/>
                <w:sz w:val="22"/>
                <w:szCs w:val="22"/>
              </w:rPr>
              <w:t xml:space="preserve">position became </w:t>
            </w:r>
            <w:r w:rsidR="00126EEE">
              <w:rPr>
                <w:rFonts w:cs="Arial"/>
                <w:sz w:val="22"/>
                <w:szCs w:val="22"/>
              </w:rPr>
              <w:t xml:space="preserve">full-time permanent </w:t>
            </w:r>
            <w:r w:rsidR="00C6397F">
              <w:rPr>
                <w:rFonts w:cs="Arial"/>
                <w:sz w:val="22"/>
                <w:szCs w:val="22"/>
              </w:rPr>
              <w:t>but</w:t>
            </w:r>
            <w:r w:rsidR="00662744">
              <w:rPr>
                <w:rFonts w:cs="Arial"/>
                <w:sz w:val="22"/>
                <w:szCs w:val="22"/>
              </w:rPr>
              <w:t xml:space="preserve"> her work no longer focusses on Core Indicators. </w:t>
            </w:r>
          </w:p>
        </w:tc>
        <w:tc>
          <w:tcPr>
            <w:tcW w:w="2789" w:type="dxa"/>
            <w:tcMar>
              <w:top w:w="29" w:type="dxa"/>
              <w:left w:w="86" w:type="dxa"/>
              <w:bottom w:w="29" w:type="dxa"/>
              <w:right w:w="86" w:type="dxa"/>
            </w:tcMar>
          </w:tcPr>
          <w:p w:rsidR="003A421B" w:rsidRDefault="00662744" w:rsidP="00073FA0">
            <w:pPr>
              <w:rPr>
                <w:rFonts w:cs="Arial"/>
                <w:sz w:val="22"/>
                <w:szCs w:val="22"/>
              </w:rPr>
            </w:pPr>
            <w:r>
              <w:rPr>
                <w:rFonts w:cs="Arial"/>
                <w:sz w:val="22"/>
                <w:szCs w:val="22"/>
              </w:rPr>
              <w:t>Discuss the need for this position during operational planning.</w:t>
            </w:r>
          </w:p>
        </w:tc>
      </w:tr>
      <w:tr w:rsidR="003A421B" w:rsidRPr="00D77AF2" w:rsidTr="003511A2">
        <w:trPr>
          <w:trHeight w:val="303"/>
        </w:trPr>
        <w:tc>
          <w:tcPr>
            <w:tcW w:w="630" w:type="dxa"/>
            <w:tcMar>
              <w:top w:w="29" w:type="dxa"/>
              <w:left w:w="86" w:type="dxa"/>
              <w:bottom w:w="29" w:type="dxa"/>
              <w:right w:w="86" w:type="dxa"/>
            </w:tcMar>
          </w:tcPr>
          <w:p w:rsidR="003A421B" w:rsidRPr="00D77AF2" w:rsidRDefault="00AD106A" w:rsidP="00622624">
            <w:pPr>
              <w:jc w:val="right"/>
              <w:rPr>
                <w:rFonts w:cs="Arial"/>
                <w:sz w:val="22"/>
                <w:szCs w:val="22"/>
              </w:rPr>
            </w:pPr>
            <w:r>
              <w:rPr>
                <w:rFonts w:cs="Arial"/>
                <w:sz w:val="22"/>
                <w:szCs w:val="22"/>
              </w:rPr>
              <w:t>3.</w:t>
            </w:r>
            <w:r w:rsidR="00622624">
              <w:rPr>
                <w:rFonts w:cs="Arial"/>
                <w:sz w:val="22"/>
                <w:szCs w:val="22"/>
              </w:rPr>
              <w:t>4</w:t>
            </w:r>
          </w:p>
        </w:tc>
        <w:tc>
          <w:tcPr>
            <w:tcW w:w="6297" w:type="dxa"/>
            <w:tcMar>
              <w:top w:w="29" w:type="dxa"/>
              <w:left w:w="86" w:type="dxa"/>
              <w:bottom w:w="29" w:type="dxa"/>
              <w:right w:w="86" w:type="dxa"/>
            </w:tcMar>
          </w:tcPr>
          <w:p w:rsidR="00622624" w:rsidRDefault="00622624" w:rsidP="00005109">
            <w:pPr>
              <w:rPr>
                <w:rFonts w:cs="Arial"/>
                <w:b/>
                <w:sz w:val="22"/>
                <w:szCs w:val="22"/>
              </w:rPr>
            </w:pPr>
            <w:r w:rsidRPr="00622624">
              <w:rPr>
                <w:rFonts w:cs="Arial"/>
                <w:b/>
                <w:sz w:val="22"/>
                <w:szCs w:val="22"/>
              </w:rPr>
              <w:t xml:space="preserve">APHEO Core Indicators Pamphlet </w:t>
            </w:r>
          </w:p>
          <w:p w:rsidR="003A421B" w:rsidRPr="006A0826" w:rsidRDefault="00622624" w:rsidP="00073FA0">
            <w:r w:rsidRPr="00622624">
              <w:rPr>
                <w:rFonts w:cs="Arial"/>
                <w:sz w:val="22"/>
                <w:szCs w:val="22"/>
              </w:rPr>
              <w:t xml:space="preserve">Brenda </w:t>
            </w:r>
            <w:r>
              <w:rPr>
                <w:rFonts w:cs="Arial"/>
                <w:sz w:val="22"/>
                <w:szCs w:val="22"/>
              </w:rPr>
              <w:t xml:space="preserve">and </w:t>
            </w:r>
            <w:r w:rsidR="00073FA0">
              <w:rPr>
                <w:rFonts w:cs="Arial"/>
                <w:sz w:val="22"/>
                <w:szCs w:val="22"/>
              </w:rPr>
              <w:t xml:space="preserve">Cam </w:t>
            </w:r>
            <w:r>
              <w:rPr>
                <w:rFonts w:cs="Arial"/>
                <w:sz w:val="22"/>
                <w:szCs w:val="22"/>
              </w:rPr>
              <w:t>discussed whether to proceed with producing the pamphlet.</w:t>
            </w:r>
            <w:r w:rsidRPr="00622624">
              <w:rPr>
                <w:rFonts w:cs="Arial"/>
                <w:sz w:val="22"/>
                <w:szCs w:val="22"/>
              </w:rPr>
              <w:t xml:space="preserve"> </w:t>
            </w:r>
            <w:r>
              <w:rPr>
                <w:rFonts w:cs="Arial"/>
                <w:sz w:val="22"/>
                <w:szCs w:val="22"/>
              </w:rPr>
              <w:t xml:space="preserve">The group agreed that it would be useful to have </w:t>
            </w:r>
            <w:r w:rsidR="000B365F">
              <w:rPr>
                <w:rFonts w:cs="Arial"/>
                <w:sz w:val="22"/>
                <w:szCs w:val="22"/>
              </w:rPr>
              <w:t xml:space="preserve">printed </w:t>
            </w:r>
            <w:r>
              <w:rPr>
                <w:rFonts w:cs="Arial"/>
                <w:sz w:val="22"/>
                <w:szCs w:val="22"/>
              </w:rPr>
              <w:t>pamphlet</w:t>
            </w:r>
            <w:r w:rsidR="000B365F">
              <w:rPr>
                <w:rFonts w:cs="Arial"/>
                <w:sz w:val="22"/>
                <w:szCs w:val="22"/>
              </w:rPr>
              <w:t>s</w:t>
            </w:r>
            <w:r>
              <w:rPr>
                <w:rFonts w:cs="Arial"/>
                <w:sz w:val="22"/>
                <w:szCs w:val="22"/>
              </w:rPr>
              <w:t xml:space="preserve"> available at the APHEO conference later this year. </w:t>
            </w:r>
            <w:r w:rsidR="000B365F">
              <w:rPr>
                <w:rFonts w:cs="Arial"/>
                <w:sz w:val="22"/>
                <w:szCs w:val="22"/>
              </w:rPr>
              <w:t xml:space="preserve">Before finalizing, the pamphlet should be reviewed by CIWG members to update it as required and double-check that references </w:t>
            </w:r>
            <w:r w:rsidR="00073FA0">
              <w:rPr>
                <w:rFonts w:cs="Arial"/>
                <w:sz w:val="22"/>
                <w:szCs w:val="22"/>
              </w:rPr>
              <w:t xml:space="preserve">any </w:t>
            </w:r>
            <w:r w:rsidR="000B365F">
              <w:rPr>
                <w:rFonts w:cs="Arial"/>
                <w:sz w:val="22"/>
                <w:szCs w:val="22"/>
              </w:rPr>
              <w:t xml:space="preserve">to dates have been removed.   </w:t>
            </w:r>
          </w:p>
        </w:tc>
        <w:tc>
          <w:tcPr>
            <w:tcW w:w="2789" w:type="dxa"/>
            <w:tcMar>
              <w:top w:w="29" w:type="dxa"/>
              <w:left w:w="86" w:type="dxa"/>
              <w:bottom w:w="29" w:type="dxa"/>
              <w:right w:w="86" w:type="dxa"/>
            </w:tcMar>
          </w:tcPr>
          <w:p w:rsidR="003A421B" w:rsidRPr="00D77AF2" w:rsidRDefault="00B9477C" w:rsidP="00B9477C">
            <w:pPr>
              <w:rPr>
                <w:rFonts w:cs="Arial"/>
                <w:sz w:val="22"/>
                <w:szCs w:val="22"/>
              </w:rPr>
            </w:pPr>
            <w:r>
              <w:rPr>
                <w:rFonts w:cs="Arial"/>
                <w:sz w:val="22"/>
                <w:szCs w:val="22"/>
              </w:rPr>
              <w:t xml:space="preserve">Brenda will circulate the most recent version of the document for the group’s feedback.  </w:t>
            </w:r>
          </w:p>
        </w:tc>
      </w:tr>
      <w:tr w:rsidR="003A421B" w:rsidRPr="00D77AF2">
        <w:trPr>
          <w:trHeight w:val="239"/>
        </w:trPr>
        <w:tc>
          <w:tcPr>
            <w:tcW w:w="630" w:type="dxa"/>
            <w:tcMar>
              <w:top w:w="29" w:type="dxa"/>
              <w:left w:w="86" w:type="dxa"/>
              <w:bottom w:w="29" w:type="dxa"/>
              <w:right w:w="86" w:type="dxa"/>
            </w:tcMar>
          </w:tcPr>
          <w:p w:rsidR="003A421B" w:rsidRPr="00622624" w:rsidRDefault="00622624" w:rsidP="00D77AF2">
            <w:pPr>
              <w:rPr>
                <w:rFonts w:cs="Arial"/>
                <w:sz w:val="22"/>
                <w:szCs w:val="22"/>
              </w:rPr>
            </w:pPr>
            <w:r w:rsidRPr="00622624">
              <w:rPr>
                <w:rFonts w:cs="Arial"/>
                <w:sz w:val="22"/>
                <w:szCs w:val="22"/>
              </w:rPr>
              <w:t>3.5</w:t>
            </w:r>
          </w:p>
        </w:tc>
        <w:tc>
          <w:tcPr>
            <w:tcW w:w="6297" w:type="dxa"/>
            <w:tcMar>
              <w:top w:w="29" w:type="dxa"/>
              <w:left w:w="86" w:type="dxa"/>
              <w:bottom w:w="29" w:type="dxa"/>
              <w:right w:w="86" w:type="dxa"/>
            </w:tcMar>
          </w:tcPr>
          <w:p w:rsidR="003A421B" w:rsidRDefault="00B9477C" w:rsidP="00005109">
            <w:pPr>
              <w:rPr>
                <w:rFonts w:cs="Arial"/>
                <w:sz w:val="22"/>
                <w:szCs w:val="22"/>
              </w:rPr>
            </w:pPr>
            <w:r w:rsidRPr="005E3F5B">
              <w:rPr>
                <w:rFonts w:cs="Arial"/>
                <w:b/>
                <w:sz w:val="22"/>
                <w:szCs w:val="22"/>
              </w:rPr>
              <w:t>Core Indicators Logo</w:t>
            </w:r>
          </w:p>
          <w:p w:rsidR="00B9477C" w:rsidRPr="00B9477C" w:rsidRDefault="00B9477C" w:rsidP="00B9477C">
            <w:r w:rsidRPr="00B9477C">
              <w:rPr>
                <w:rFonts w:cs="Arial"/>
                <w:sz w:val="22"/>
                <w:szCs w:val="22"/>
              </w:rPr>
              <w:t>The term “Core Indicators” will be incorporated into the new APHEO logo.</w:t>
            </w:r>
          </w:p>
        </w:tc>
        <w:tc>
          <w:tcPr>
            <w:tcW w:w="2789" w:type="dxa"/>
            <w:tcMar>
              <w:top w:w="29" w:type="dxa"/>
              <w:left w:w="86" w:type="dxa"/>
              <w:bottom w:w="29" w:type="dxa"/>
              <w:right w:w="86" w:type="dxa"/>
            </w:tcMar>
          </w:tcPr>
          <w:p w:rsidR="003A421B" w:rsidRPr="00D77AF2" w:rsidRDefault="00B9477C" w:rsidP="00B9477C">
            <w:pPr>
              <w:rPr>
                <w:rFonts w:cs="Arial"/>
                <w:sz w:val="22"/>
                <w:szCs w:val="22"/>
              </w:rPr>
            </w:pPr>
            <w:r>
              <w:rPr>
                <w:rFonts w:cs="Arial"/>
                <w:sz w:val="22"/>
                <w:szCs w:val="22"/>
              </w:rPr>
              <w:t>Suzanne will liaise with APHEO executive re: steps required</w:t>
            </w:r>
          </w:p>
        </w:tc>
      </w:tr>
      <w:tr w:rsidR="003A421B" w:rsidRPr="00D77AF2">
        <w:trPr>
          <w:trHeight w:val="239"/>
        </w:trPr>
        <w:tc>
          <w:tcPr>
            <w:tcW w:w="630" w:type="dxa"/>
            <w:tcMar>
              <w:top w:w="29" w:type="dxa"/>
              <w:left w:w="86" w:type="dxa"/>
              <w:bottom w:w="29" w:type="dxa"/>
              <w:right w:w="86" w:type="dxa"/>
            </w:tcMar>
          </w:tcPr>
          <w:p w:rsidR="003A421B" w:rsidRPr="009443BA" w:rsidRDefault="00AD106A" w:rsidP="00D77AF2">
            <w:pPr>
              <w:rPr>
                <w:rFonts w:cs="Arial"/>
                <w:sz w:val="22"/>
                <w:szCs w:val="22"/>
              </w:rPr>
            </w:pPr>
            <w:r w:rsidRPr="009443BA">
              <w:rPr>
                <w:rFonts w:cs="Arial"/>
                <w:sz w:val="22"/>
                <w:szCs w:val="22"/>
              </w:rPr>
              <w:t>3.</w:t>
            </w:r>
            <w:r w:rsidR="009443BA" w:rsidRPr="009443BA">
              <w:rPr>
                <w:rFonts w:cs="Arial"/>
                <w:sz w:val="22"/>
                <w:szCs w:val="22"/>
              </w:rPr>
              <w:t>6</w:t>
            </w:r>
          </w:p>
        </w:tc>
        <w:tc>
          <w:tcPr>
            <w:tcW w:w="6297" w:type="dxa"/>
            <w:tcMar>
              <w:top w:w="29" w:type="dxa"/>
              <w:left w:w="86" w:type="dxa"/>
              <w:bottom w:w="29" w:type="dxa"/>
              <w:right w:w="86" w:type="dxa"/>
            </w:tcMar>
          </w:tcPr>
          <w:p w:rsidR="003A421B" w:rsidRDefault="00B9477C" w:rsidP="00B9477C">
            <w:pPr>
              <w:pStyle w:val="Heading1"/>
              <w:rPr>
                <w:rFonts w:cs="Arial"/>
                <w:sz w:val="22"/>
                <w:szCs w:val="22"/>
              </w:rPr>
            </w:pPr>
            <w:r w:rsidRPr="00B9477C">
              <w:rPr>
                <w:rFonts w:cs="Arial"/>
                <w:sz w:val="22"/>
                <w:szCs w:val="22"/>
              </w:rPr>
              <w:t xml:space="preserve">Reviewer template </w:t>
            </w:r>
          </w:p>
          <w:p w:rsidR="00B9477C" w:rsidRPr="00824778" w:rsidRDefault="00824778" w:rsidP="00B9477C">
            <w:pPr>
              <w:rPr>
                <w:sz w:val="22"/>
                <w:szCs w:val="22"/>
              </w:rPr>
            </w:pPr>
            <w:r w:rsidRPr="00824778">
              <w:rPr>
                <w:sz w:val="22"/>
                <w:szCs w:val="22"/>
              </w:rPr>
              <w:lastRenderedPageBreak/>
              <w:t>Suzanne and Natalie completed this item</w:t>
            </w:r>
            <w:r>
              <w:rPr>
                <w:sz w:val="22"/>
                <w:szCs w:val="22"/>
              </w:rPr>
              <w:t xml:space="preserve"> prior to the October 21, 2013 meeting.</w:t>
            </w:r>
          </w:p>
        </w:tc>
        <w:tc>
          <w:tcPr>
            <w:tcW w:w="2789" w:type="dxa"/>
            <w:tcMar>
              <w:top w:w="29" w:type="dxa"/>
              <w:left w:w="86" w:type="dxa"/>
              <w:bottom w:w="29" w:type="dxa"/>
              <w:right w:w="86" w:type="dxa"/>
            </w:tcMar>
          </w:tcPr>
          <w:p w:rsidR="003A421B" w:rsidRPr="00D77AF2" w:rsidRDefault="00D81718" w:rsidP="00005109">
            <w:pPr>
              <w:rPr>
                <w:rFonts w:cs="Arial"/>
                <w:sz w:val="22"/>
                <w:szCs w:val="22"/>
              </w:rPr>
            </w:pPr>
            <w:r>
              <w:rPr>
                <w:rFonts w:cs="Arial"/>
                <w:sz w:val="22"/>
                <w:szCs w:val="22"/>
              </w:rPr>
              <w:lastRenderedPageBreak/>
              <w:t>Complete</w:t>
            </w:r>
          </w:p>
        </w:tc>
      </w:tr>
      <w:tr w:rsidR="003A421B" w:rsidRPr="00D77AF2">
        <w:trPr>
          <w:trHeight w:val="239"/>
        </w:trPr>
        <w:tc>
          <w:tcPr>
            <w:tcW w:w="630" w:type="dxa"/>
            <w:tcMar>
              <w:top w:w="29" w:type="dxa"/>
              <w:left w:w="86" w:type="dxa"/>
              <w:bottom w:w="29" w:type="dxa"/>
              <w:right w:w="86" w:type="dxa"/>
            </w:tcMar>
          </w:tcPr>
          <w:p w:rsidR="003A421B" w:rsidRPr="009443BA" w:rsidRDefault="00AD106A" w:rsidP="00D77AF2">
            <w:pPr>
              <w:rPr>
                <w:rFonts w:cs="Arial"/>
                <w:sz w:val="22"/>
                <w:szCs w:val="22"/>
              </w:rPr>
            </w:pPr>
            <w:r w:rsidRPr="009443BA">
              <w:rPr>
                <w:rFonts w:cs="Arial"/>
                <w:sz w:val="22"/>
                <w:szCs w:val="22"/>
              </w:rPr>
              <w:lastRenderedPageBreak/>
              <w:t>3.</w:t>
            </w:r>
            <w:r w:rsidR="009443BA">
              <w:rPr>
                <w:rFonts w:cs="Arial"/>
                <w:sz w:val="22"/>
                <w:szCs w:val="22"/>
              </w:rPr>
              <w:t>7</w:t>
            </w:r>
          </w:p>
        </w:tc>
        <w:tc>
          <w:tcPr>
            <w:tcW w:w="6297" w:type="dxa"/>
            <w:tcMar>
              <w:top w:w="29" w:type="dxa"/>
              <w:left w:w="86" w:type="dxa"/>
              <w:bottom w:w="29" w:type="dxa"/>
              <w:right w:w="86" w:type="dxa"/>
            </w:tcMar>
          </w:tcPr>
          <w:p w:rsidR="003A421B" w:rsidRDefault="00824778" w:rsidP="00005109">
            <w:pPr>
              <w:pStyle w:val="Heading1"/>
              <w:rPr>
                <w:rFonts w:cs="Arial"/>
                <w:b w:val="0"/>
                <w:sz w:val="22"/>
                <w:szCs w:val="22"/>
              </w:rPr>
            </w:pPr>
            <w:r>
              <w:rPr>
                <w:rFonts w:cs="Arial"/>
                <w:sz w:val="22"/>
                <w:szCs w:val="22"/>
              </w:rPr>
              <w:t>Citing Core Indicators pages</w:t>
            </w:r>
          </w:p>
          <w:p w:rsidR="003A421B" w:rsidRPr="00623798" w:rsidRDefault="00824778" w:rsidP="00824778">
            <w:r>
              <w:rPr>
                <w:rFonts w:cs="Arial"/>
                <w:sz w:val="22"/>
                <w:szCs w:val="22"/>
              </w:rPr>
              <w:t xml:space="preserve">Natalie added an example of “How to cite Core Indicators/Core Indicator resource webpages” to the Core Indicators home page.  </w:t>
            </w:r>
          </w:p>
        </w:tc>
        <w:tc>
          <w:tcPr>
            <w:tcW w:w="2789" w:type="dxa"/>
            <w:tcMar>
              <w:top w:w="29" w:type="dxa"/>
              <w:left w:w="86" w:type="dxa"/>
              <w:bottom w:w="29" w:type="dxa"/>
              <w:right w:w="86" w:type="dxa"/>
            </w:tcMar>
          </w:tcPr>
          <w:p w:rsidR="003A421B" w:rsidRPr="00D77AF2" w:rsidRDefault="00D81718" w:rsidP="00005109">
            <w:pPr>
              <w:rPr>
                <w:rFonts w:cs="Arial"/>
                <w:sz w:val="22"/>
                <w:szCs w:val="22"/>
              </w:rPr>
            </w:pPr>
            <w:r>
              <w:rPr>
                <w:rFonts w:cs="Arial"/>
                <w:sz w:val="22"/>
                <w:szCs w:val="22"/>
              </w:rPr>
              <w:t>Complete</w:t>
            </w:r>
          </w:p>
        </w:tc>
      </w:tr>
      <w:tr w:rsidR="003A421B" w:rsidRPr="00D77AF2">
        <w:trPr>
          <w:trHeight w:val="239"/>
        </w:trPr>
        <w:tc>
          <w:tcPr>
            <w:tcW w:w="630" w:type="dxa"/>
            <w:tcMar>
              <w:top w:w="29" w:type="dxa"/>
              <w:left w:w="86" w:type="dxa"/>
              <w:bottom w:w="29" w:type="dxa"/>
              <w:right w:w="86" w:type="dxa"/>
            </w:tcMar>
          </w:tcPr>
          <w:p w:rsidR="003A421B" w:rsidRPr="009443BA" w:rsidRDefault="00AD106A" w:rsidP="00D77AF2">
            <w:pPr>
              <w:rPr>
                <w:rFonts w:cs="Arial"/>
                <w:sz w:val="22"/>
                <w:szCs w:val="22"/>
              </w:rPr>
            </w:pPr>
            <w:r w:rsidRPr="009443BA">
              <w:rPr>
                <w:rFonts w:cs="Arial"/>
                <w:sz w:val="22"/>
                <w:szCs w:val="22"/>
              </w:rPr>
              <w:t>3.</w:t>
            </w:r>
            <w:r w:rsidR="009443BA" w:rsidRPr="009443BA">
              <w:rPr>
                <w:rFonts w:cs="Arial"/>
                <w:sz w:val="22"/>
                <w:szCs w:val="22"/>
              </w:rPr>
              <w:t>8</w:t>
            </w:r>
          </w:p>
        </w:tc>
        <w:tc>
          <w:tcPr>
            <w:tcW w:w="6297" w:type="dxa"/>
            <w:tcMar>
              <w:top w:w="29" w:type="dxa"/>
              <w:left w:w="86" w:type="dxa"/>
              <w:bottom w:w="29" w:type="dxa"/>
              <w:right w:w="86" w:type="dxa"/>
            </w:tcMar>
          </w:tcPr>
          <w:p w:rsidR="003A421B" w:rsidRDefault="00824778" w:rsidP="00005109">
            <w:pPr>
              <w:pStyle w:val="Heading1"/>
              <w:keepLines/>
              <w:rPr>
                <w:rFonts w:cs="Arial"/>
                <w:sz w:val="22"/>
                <w:szCs w:val="22"/>
              </w:rPr>
            </w:pPr>
            <w:r>
              <w:rPr>
                <w:rFonts w:cs="Arial"/>
                <w:sz w:val="22"/>
                <w:szCs w:val="22"/>
              </w:rPr>
              <w:t>Version control/archiving</w:t>
            </w:r>
          </w:p>
          <w:p w:rsidR="00E70C55" w:rsidRDefault="00E70C55" w:rsidP="00E70C55">
            <w:pPr>
              <w:rPr>
                <w:rFonts w:cs="Arial"/>
                <w:sz w:val="22"/>
                <w:szCs w:val="22"/>
              </w:rPr>
            </w:pPr>
            <w:r>
              <w:rPr>
                <w:rFonts w:cs="Arial"/>
                <w:sz w:val="22"/>
                <w:szCs w:val="22"/>
              </w:rPr>
              <w:t xml:space="preserve">Suzanne reported on behalf of Sherri: </w:t>
            </w:r>
            <w:r w:rsidR="00C53EA5">
              <w:rPr>
                <w:rFonts w:cs="Arial"/>
                <w:sz w:val="22"/>
                <w:szCs w:val="22"/>
              </w:rPr>
              <w:t>Version</w:t>
            </w:r>
            <w:r>
              <w:rPr>
                <w:rFonts w:cs="Arial"/>
                <w:sz w:val="22"/>
                <w:szCs w:val="22"/>
              </w:rPr>
              <w:t xml:space="preserve"> controlling can be a consideration in the APHEO website redesign (a request for proposals </w:t>
            </w:r>
            <w:r w:rsidRPr="00E70C55">
              <w:rPr>
                <w:rFonts w:cs="Arial"/>
                <w:sz w:val="22"/>
                <w:szCs w:val="22"/>
              </w:rPr>
              <w:t>has gone out</w:t>
            </w:r>
            <w:r w:rsidR="00073FA0">
              <w:rPr>
                <w:rFonts w:cs="Arial"/>
                <w:sz w:val="22"/>
                <w:szCs w:val="22"/>
              </w:rPr>
              <w:t xml:space="preserve"> for the website redesign</w:t>
            </w:r>
            <w:r>
              <w:rPr>
                <w:rFonts w:cs="Arial"/>
                <w:sz w:val="22"/>
                <w:szCs w:val="22"/>
              </w:rPr>
              <w:t>).</w:t>
            </w:r>
            <w:r w:rsidRPr="00E70C55">
              <w:rPr>
                <w:rFonts w:cs="Arial"/>
                <w:sz w:val="22"/>
                <w:szCs w:val="22"/>
              </w:rPr>
              <w:t xml:space="preserve"> </w:t>
            </w:r>
            <w:r>
              <w:rPr>
                <w:rFonts w:cs="Arial"/>
                <w:sz w:val="22"/>
                <w:szCs w:val="22"/>
              </w:rPr>
              <w:t xml:space="preserve">The group suggested that </w:t>
            </w:r>
            <w:r w:rsidR="00C53EA5">
              <w:rPr>
                <w:rFonts w:cs="Arial"/>
                <w:sz w:val="22"/>
                <w:szCs w:val="22"/>
              </w:rPr>
              <w:t>for major revisions to a</w:t>
            </w:r>
            <w:r>
              <w:rPr>
                <w:rFonts w:cs="Arial"/>
                <w:sz w:val="22"/>
                <w:szCs w:val="22"/>
              </w:rPr>
              <w:t xml:space="preserve"> Core Indicator, the date of the revision be included </w:t>
            </w:r>
            <w:r w:rsidR="00073FA0">
              <w:rPr>
                <w:rFonts w:cs="Arial"/>
                <w:sz w:val="22"/>
                <w:szCs w:val="22"/>
              </w:rPr>
              <w:t>on the webpage along with</w:t>
            </w:r>
            <w:r>
              <w:rPr>
                <w:rFonts w:cs="Arial"/>
                <w:sz w:val="22"/>
                <w:szCs w:val="22"/>
              </w:rPr>
              <w:t xml:space="preserve"> a link to the previous version of the </w:t>
            </w:r>
            <w:r w:rsidR="00C53EA5">
              <w:rPr>
                <w:rFonts w:cs="Arial"/>
                <w:sz w:val="22"/>
                <w:szCs w:val="22"/>
              </w:rPr>
              <w:t xml:space="preserve">Core Indicator </w:t>
            </w:r>
            <w:r>
              <w:rPr>
                <w:rFonts w:cs="Arial"/>
                <w:sz w:val="22"/>
                <w:szCs w:val="22"/>
              </w:rPr>
              <w:t>(instead of over-riding existing webpage</w:t>
            </w:r>
            <w:r w:rsidR="00C53EA5">
              <w:rPr>
                <w:rFonts w:cs="Arial"/>
                <w:sz w:val="22"/>
                <w:szCs w:val="22"/>
              </w:rPr>
              <w:t xml:space="preserve"> as is the current practice</w:t>
            </w:r>
            <w:r>
              <w:rPr>
                <w:rFonts w:cs="Arial"/>
                <w:sz w:val="22"/>
                <w:szCs w:val="22"/>
              </w:rPr>
              <w:t>)</w:t>
            </w:r>
            <w:r w:rsidRPr="00E70C55">
              <w:rPr>
                <w:rFonts w:cs="Arial"/>
                <w:sz w:val="22"/>
                <w:szCs w:val="22"/>
              </w:rPr>
              <w:t xml:space="preserve">. </w:t>
            </w:r>
            <w:r>
              <w:rPr>
                <w:rFonts w:cs="Arial"/>
                <w:sz w:val="22"/>
                <w:szCs w:val="22"/>
              </w:rPr>
              <w:t>Minor changes can continue to be captured in the “Changes Made”</w:t>
            </w:r>
            <w:r w:rsidRPr="00E70C55">
              <w:rPr>
                <w:rFonts w:cs="Arial"/>
                <w:sz w:val="22"/>
                <w:szCs w:val="22"/>
              </w:rPr>
              <w:t xml:space="preserve"> </w:t>
            </w:r>
            <w:r>
              <w:rPr>
                <w:rFonts w:cs="Arial"/>
                <w:sz w:val="22"/>
                <w:szCs w:val="22"/>
              </w:rPr>
              <w:t xml:space="preserve">section of the indicator. </w:t>
            </w:r>
            <w:r w:rsidRPr="00E70C55">
              <w:rPr>
                <w:rFonts w:cs="Arial"/>
                <w:sz w:val="22"/>
                <w:szCs w:val="22"/>
              </w:rPr>
              <w:t xml:space="preserve"> </w:t>
            </w:r>
          </w:p>
          <w:p w:rsidR="003A421B" w:rsidRPr="00D31E26" w:rsidRDefault="00E70C55" w:rsidP="00E70C55">
            <w:pPr>
              <w:rPr>
                <w:sz w:val="22"/>
                <w:szCs w:val="22"/>
              </w:rPr>
            </w:pPr>
            <w:r>
              <w:rPr>
                <w:rFonts w:cs="Arial"/>
                <w:sz w:val="22"/>
                <w:szCs w:val="22"/>
              </w:rPr>
              <w:t xml:space="preserve">(The group agreed with Brenda’s suggestion to record CIWG decisions such as this on a spreadsheet for ease of reference). </w:t>
            </w:r>
          </w:p>
        </w:tc>
        <w:tc>
          <w:tcPr>
            <w:tcW w:w="2789" w:type="dxa"/>
            <w:tcMar>
              <w:top w:w="29" w:type="dxa"/>
              <w:left w:w="86" w:type="dxa"/>
              <w:bottom w:w="29" w:type="dxa"/>
              <w:right w:w="86" w:type="dxa"/>
            </w:tcMar>
          </w:tcPr>
          <w:p w:rsidR="003A421B" w:rsidRDefault="00C53EA5" w:rsidP="00005109">
            <w:pPr>
              <w:keepNext/>
              <w:keepLines/>
              <w:rPr>
                <w:rFonts w:cs="Arial"/>
                <w:sz w:val="22"/>
                <w:szCs w:val="22"/>
              </w:rPr>
            </w:pPr>
            <w:r>
              <w:rPr>
                <w:rFonts w:cs="Arial"/>
                <w:sz w:val="22"/>
                <w:szCs w:val="22"/>
              </w:rPr>
              <w:t xml:space="preserve">Suzanne will </w:t>
            </w:r>
            <w:r w:rsidR="00DA4A32">
              <w:rPr>
                <w:rFonts w:cs="Arial"/>
                <w:sz w:val="22"/>
                <w:szCs w:val="22"/>
              </w:rPr>
              <w:t xml:space="preserve">create a ‘Core Indicators Work Group Decisions’ </w:t>
            </w:r>
            <w:r>
              <w:rPr>
                <w:rFonts w:cs="Arial"/>
                <w:sz w:val="22"/>
                <w:szCs w:val="22"/>
              </w:rPr>
              <w:t>spreadsheet</w:t>
            </w:r>
            <w:r w:rsidR="00DA4A32">
              <w:rPr>
                <w:rFonts w:cs="Arial"/>
                <w:sz w:val="22"/>
                <w:szCs w:val="22"/>
              </w:rPr>
              <w:t xml:space="preserve"> that includes this decision</w:t>
            </w:r>
            <w:r>
              <w:rPr>
                <w:rFonts w:cs="Arial"/>
                <w:sz w:val="22"/>
                <w:szCs w:val="22"/>
              </w:rPr>
              <w:t>.</w:t>
            </w:r>
            <w:r w:rsidR="00DA4A32">
              <w:rPr>
                <w:rFonts w:cs="Arial"/>
                <w:sz w:val="22"/>
                <w:szCs w:val="22"/>
              </w:rPr>
              <w:t xml:space="preserve"> Suzanne will review the minutes from 2013 CIWG meetings and add decisions made to the spreadsheet.</w:t>
            </w:r>
          </w:p>
          <w:p w:rsidR="00C53EA5" w:rsidRDefault="00C53EA5" w:rsidP="00005109">
            <w:pPr>
              <w:keepNext/>
              <w:keepLines/>
              <w:rPr>
                <w:rFonts w:cs="Arial"/>
                <w:sz w:val="22"/>
                <w:szCs w:val="22"/>
              </w:rPr>
            </w:pPr>
          </w:p>
          <w:p w:rsidR="00C53EA5" w:rsidRPr="00C53EA5" w:rsidRDefault="00C53EA5" w:rsidP="00005109">
            <w:pPr>
              <w:keepNext/>
              <w:keepLines/>
              <w:rPr>
                <w:rFonts w:cs="Arial"/>
                <w:color w:val="FF0000"/>
                <w:sz w:val="22"/>
                <w:szCs w:val="22"/>
              </w:rPr>
            </w:pPr>
          </w:p>
        </w:tc>
      </w:tr>
      <w:tr w:rsidR="003A421B" w:rsidRPr="00D77AF2">
        <w:trPr>
          <w:trHeight w:val="239"/>
        </w:trPr>
        <w:tc>
          <w:tcPr>
            <w:tcW w:w="630" w:type="dxa"/>
            <w:tcMar>
              <w:top w:w="29" w:type="dxa"/>
              <w:left w:w="86" w:type="dxa"/>
              <w:bottom w:w="29" w:type="dxa"/>
              <w:right w:w="86" w:type="dxa"/>
            </w:tcMar>
          </w:tcPr>
          <w:p w:rsidR="003A421B" w:rsidRPr="009443BA" w:rsidRDefault="00AD106A" w:rsidP="00D77AF2">
            <w:pPr>
              <w:rPr>
                <w:rFonts w:cs="Arial"/>
                <w:sz w:val="22"/>
                <w:szCs w:val="22"/>
              </w:rPr>
            </w:pPr>
            <w:r w:rsidRPr="009443BA">
              <w:rPr>
                <w:rFonts w:cs="Arial"/>
                <w:sz w:val="22"/>
                <w:szCs w:val="22"/>
              </w:rPr>
              <w:t>3.</w:t>
            </w:r>
            <w:r w:rsidR="009443BA">
              <w:rPr>
                <w:rFonts w:cs="Arial"/>
                <w:sz w:val="22"/>
                <w:szCs w:val="22"/>
              </w:rPr>
              <w:t>9</w:t>
            </w:r>
          </w:p>
        </w:tc>
        <w:tc>
          <w:tcPr>
            <w:tcW w:w="6297" w:type="dxa"/>
            <w:tcMar>
              <w:top w:w="29" w:type="dxa"/>
              <w:left w:w="86" w:type="dxa"/>
              <w:bottom w:w="29" w:type="dxa"/>
              <w:right w:w="86" w:type="dxa"/>
            </w:tcMar>
          </w:tcPr>
          <w:p w:rsidR="009443BA" w:rsidRPr="00B47BC4" w:rsidRDefault="00C53EA5" w:rsidP="009443BA">
            <w:pPr>
              <w:rPr>
                <w:rFonts w:cs="Arial"/>
                <w:b/>
                <w:sz w:val="22"/>
                <w:szCs w:val="22"/>
              </w:rPr>
            </w:pPr>
            <w:r>
              <w:rPr>
                <w:rFonts w:cs="Arial"/>
                <w:b/>
                <w:sz w:val="22"/>
                <w:szCs w:val="22"/>
              </w:rPr>
              <w:t>Cancer Screening data release</w:t>
            </w:r>
          </w:p>
          <w:p w:rsidR="003A421B" w:rsidRPr="00623798" w:rsidRDefault="00C53EA5" w:rsidP="006633B1">
            <w:r w:rsidRPr="00C53EA5">
              <w:rPr>
                <w:rFonts w:cs="Arial"/>
                <w:sz w:val="22"/>
                <w:szCs w:val="22"/>
              </w:rPr>
              <w:t>Mary-Anne and Shanna</w:t>
            </w:r>
            <w:r>
              <w:rPr>
                <w:rFonts w:cs="Arial"/>
                <w:sz w:val="22"/>
                <w:szCs w:val="22"/>
              </w:rPr>
              <w:t xml:space="preserve"> reported that cancer s</w:t>
            </w:r>
            <w:r w:rsidRPr="00C53EA5">
              <w:rPr>
                <w:rFonts w:cs="Arial"/>
                <w:sz w:val="22"/>
                <w:szCs w:val="22"/>
              </w:rPr>
              <w:t xml:space="preserve">creening </w:t>
            </w:r>
            <w:r w:rsidR="00144418">
              <w:rPr>
                <w:rFonts w:cs="Arial"/>
                <w:sz w:val="22"/>
                <w:szCs w:val="22"/>
              </w:rPr>
              <w:t>information is</w:t>
            </w:r>
            <w:r w:rsidRPr="00C53EA5">
              <w:rPr>
                <w:rFonts w:cs="Arial"/>
                <w:sz w:val="22"/>
                <w:szCs w:val="22"/>
              </w:rPr>
              <w:t xml:space="preserve"> now available from CCO</w:t>
            </w:r>
            <w:r w:rsidR="00144418">
              <w:rPr>
                <w:rFonts w:cs="Arial"/>
                <w:sz w:val="22"/>
                <w:szCs w:val="22"/>
              </w:rPr>
              <w:t xml:space="preserve"> (number of screens conducted provided by ICES. Current </w:t>
            </w:r>
            <w:r w:rsidR="006633B1">
              <w:rPr>
                <w:rFonts w:cs="Arial"/>
                <w:sz w:val="22"/>
                <w:szCs w:val="22"/>
              </w:rPr>
              <w:t>Core Indicators</w:t>
            </w:r>
            <w:r w:rsidR="00144418">
              <w:rPr>
                <w:rFonts w:cs="Arial"/>
                <w:sz w:val="22"/>
                <w:szCs w:val="22"/>
              </w:rPr>
              <w:t xml:space="preserve"> are based on self-reported cancer screening</w:t>
            </w:r>
            <w:r w:rsidR="006633B1">
              <w:rPr>
                <w:rFonts w:cs="Arial"/>
                <w:sz w:val="22"/>
                <w:szCs w:val="22"/>
              </w:rPr>
              <w:t xml:space="preserve"> data</w:t>
            </w:r>
            <w:r w:rsidR="00144418">
              <w:rPr>
                <w:rFonts w:cs="Arial"/>
                <w:sz w:val="22"/>
                <w:szCs w:val="22"/>
              </w:rPr>
              <w:t>). Cancer indicators could be updated to reflect the new information available. The “</w:t>
            </w:r>
            <w:r w:rsidR="00144418" w:rsidRPr="00144418">
              <w:rPr>
                <w:rFonts w:cs="Arial"/>
                <w:sz w:val="22"/>
                <w:szCs w:val="22"/>
              </w:rPr>
              <w:t>Cancer, Smoking and Sun Safety Sub-Group</w:t>
            </w:r>
            <w:r w:rsidR="00144418">
              <w:rPr>
                <w:rFonts w:cs="Arial"/>
                <w:sz w:val="22"/>
                <w:szCs w:val="22"/>
              </w:rPr>
              <w:t xml:space="preserve">” is not currently active. Brenda led this group in the past, and would like to remain involved, but may not be able to serve as lead in the future. </w:t>
            </w:r>
            <w:r w:rsidRPr="00C53EA5">
              <w:rPr>
                <w:rFonts w:cs="Arial"/>
                <w:sz w:val="22"/>
                <w:szCs w:val="22"/>
              </w:rPr>
              <w:t>See if previous member of Cancer group can be rea</w:t>
            </w:r>
            <w:r w:rsidR="006633B1">
              <w:rPr>
                <w:rFonts w:cs="Arial"/>
                <w:sz w:val="22"/>
                <w:szCs w:val="22"/>
              </w:rPr>
              <w:t xml:space="preserve">ssembled </w:t>
            </w:r>
            <w:r w:rsidRPr="00C53EA5">
              <w:rPr>
                <w:rFonts w:cs="Arial"/>
                <w:sz w:val="22"/>
                <w:szCs w:val="22"/>
              </w:rPr>
              <w:t xml:space="preserve">to address this as well as </w:t>
            </w:r>
            <w:r w:rsidR="006633B1">
              <w:rPr>
                <w:rFonts w:cs="Arial"/>
                <w:sz w:val="22"/>
                <w:szCs w:val="22"/>
              </w:rPr>
              <w:t>issues</w:t>
            </w:r>
            <w:r w:rsidRPr="00C53EA5">
              <w:rPr>
                <w:rFonts w:cs="Arial"/>
                <w:sz w:val="22"/>
                <w:szCs w:val="22"/>
              </w:rPr>
              <w:t xml:space="preserve"> identified by Ruth</w:t>
            </w:r>
            <w:r w:rsidR="006633B1">
              <w:rPr>
                <w:rFonts w:cs="Arial"/>
                <w:sz w:val="22"/>
                <w:szCs w:val="22"/>
              </w:rPr>
              <w:t xml:space="preserve"> Sanderson (see item 4.4) and</w:t>
            </w:r>
            <w:r w:rsidRPr="00C53EA5">
              <w:rPr>
                <w:rFonts w:cs="Arial"/>
                <w:sz w:val="22"/>
                <w:szCs w:val="22"/>
              </w:rPr>
              <w:t xml:space="preserve"> previous</w:t>
            </w:r>
            <w:r w:rsidR="006633B1">
              <w:rPr>
                <w:rFonts w:cs="Arial"/>
                <w:sz w:val="22"/>
                <w:szCs w:val="22"/>
              </w:rPr>
              <w:t>ly documented</w:t>
            </w:r>
            <w:r w:rsidRPr="00C53EA5">
              <w:rPr>
                <w:rFonts w:cs="Arial"/>
                <w:sz w:val="22"/>
                <w:szCs w:val="22"/>
              </w:rPr>
              <w:t xml:space="preserve"> cancer-related “</w:t>
            </w:r>
            <w:hyperlink r:id="rId7" w:history="1">
              <w:r w:rsidR="006633B1" w:rsidRPr="006633B1">
                <w:rPr>
                  <w:rStyle w:val="Hyperlink"/>
                  <w:rFonts w:cs="Arial"/>
                  <w:sz w:val="22"/>
                  <w:szCs w:val="22"/>
                </w:rPr>
                <w:t>Identified Indicator/Resources Issues</w:t>
              </w:r>
            </w:hyperlink>
            <w:r w:rsidRPr="00C53EA5">
              <w:rPr>
                <w:rFonts w:cs="Arial"/>
                <w:sz w:val="22"/>
                <w:szCs w:val="22"/>
              </w:rPr>
              <w:t xml:space="preserve">”. </w:t>
            </w:r>
          </w:p>
        </w:tc>
        <w:tc>
          <w:tcPr>
            <w:tcW w:w="2789" w:type="dxa"/>
            <w:tcMar>
              <w:top w:w="29" w:type="dxa"/>
              <w:left w:w="86" w:type="dxa"/>
              <w:bottom w:w="29" w:type="dxa"/>
              <w:right w:w="86" w:type="dxa"/>
            </w:tcMar>
          </w:tcPr>
          <w:p w:rsidR="003A421B" w:rsidRPr="00D77AF2" w:rsidRDefault="00C53EA5" w:rsidP="00144418">
            <w:pPr>
              <w:rPr>
                <w:rFonts w:cs="Arial"/>
                <w:sz w:val="22"/>
                <w:szCs w:val="22"/>
              </w:rPr>
            </w:pPr>
            <w:r>
              <w:rPr>
                <w:rFonts w:cs="Arial"/>
                <w:sz w:val="22"/>
                <w:szCs w:val="22"/>
              </w:rPr>
              <w:t xml:space="preserve">Brenda will </w:t>
            </w:r>
            <w:r w:rsidR="00144418">
              <w:rPr>
                <w:rFonts w:cs="Arial"/>
                <w:sz w:val="22"/>
                <w:szCs w:val="22"/>
              </w:rPr>
              <w:t>contact past members of the “Cancer” subgroup to determine interest in participating</w:t>
            </w:r>
            <w:r w:rsidR="00F05DF1">
              <w:rPr>
                <w:rFonts w:cs="Arial"/>
                <w:sz w:val="22"/>
                <w:szCs w:val="22"/>
              </w:rPr>
              <w:t xml:space="preserve"> going forward</w:t>
            </w:r>
            <w:r w:rsidR="00144418">
              <w:rPr>
                <w:rFonts w:cs="Arial"/>
                <w:sz w:val="22"/>
                <w:szCs w:val="22"/>
              </w:rPr>
              <w:t>.</w:t>
            </w:r>
            <w:r>
              <w:rPr>
                <w:rFonts w:cs="Arial"/>
                <w:sz w:val="22"/>
                <w:szCs w:val="22"/>
              </w:rPr>
              <w:t xml:space="preserve"> </w:t>
            </w:r>
          </w:p>
        </w:tc>
      </w:tr>
      <w:tr w:rsidR="0017249E" w:rsidRPr="00D77AF2">
        <w:trPr>
          <w:trHeight w:val="239"/>
        </w:trPr>
        <w:tc>
          <w:tcPr>
            <w:tcW w:w="630" w:type="dxa"/>
            <w:tcMar>
              <w:top w:w="29" w:type="dxa"/>
              <w:left w:w="86" w:type="dxa"/>
              <w:bottom w:w="29" w:type="dxa"/>
              <w:right w:w="86" w:type="dxa"/>
            </w:tcMar>
          </w:tcPr>
          <w:p w:rsidR="0017249E" w:rsidRPr="009443BA" w:rsidRDefault="00AD106A" w:rsidP="00D77AF2">
            <w:pPr>
              <w:rPr>
                <w:rFonts w:cs="Arial"/>
                <w:sz w:val="22"/>
                <w:szCs w:val="22"/>
              </w:rPr>
            </w:pPr>
            <w:r w:rsidRPr="009443BA">
              <w:rPr>
                <w:rFonts w:cs="Arial"/>
                <w:sz w:val="22"/>
                <w:szCs w:val="22"/>
              </w:rPr>
              <w:t>3.1</w:t>
            </w:r>
            <w:r w:rsidR="009443BA">
              <w:rPr>
                <w:rFonts w:cs="Arial"/>
                <w:sz w:val="22"/>
                <w:szCs w:val="22"/>
              </w:rPr>
              <w:t>0</w:t>
            </w:r>
          </w:p>
        </w:tc>
        <w:tc>
          <w:tcPr>
            <w:tcW w:w="6297" w:type="dxa"/>
            <w:tcMar>
              <w:top w:w="29" w:type="dxa"/>
              <w:left w:w="86" w:type="dxa"/>
              <w:bottom w:w="29" w:type="dxa"/>
              <w:right w:w="86" w:type="dxa"/>
            </w:tcMar>
          </w:tcPr>
          <w:p w:rsidR="0017249E" w:rsidRDefault="00DA4A32" w:rsidP="00005109">
            <w:pPr>
              <w:keepNext/>
              <w:keepLines/>
              <w:rPr>
                <w:rFonts w:cs="Arial"/>
                <w:b/>
                <w:sz w:val="22"/>
                <w:szCs w:val="22"/>
              </w:rPr>
            </w:pPr>
            <w:r>
              <w:rPr>
                <w:rFonts w:cs="Arial"/>
                <w:b/>
                <w:sz w:val="22"/>
                <w:szCs w:val="22"/>
              </w:rPr>
              <w:t>Updating of the Alignment and gaps documents</w:t>
            </w:r>
          </w:p>
          <w:p w:rsidR="0017249E" w:rsidRPr="0098731C" w:rsidRDefault="006633B1" w:rsidP="00DA4A32">
            <w:pPr>
              <w:keepNext/>
              <w:keepLines/>
              <w:rPr>
                <w:rFonts w:cs="Arial"/>
                <w:sz w:val="22"/>
                <w:szCs w:val="22"/>
              </w:rPr>
            </w:pPr>
            <w:r>
              <w:rPr>
                <w:rFonts w:cs="Arial"/>
                <w:sz w:val="22"/>
                <w:szCs w:val="22"/>
              </w:rPr>
              <w:t>A</w:t>
            </w:r>
            <w:r w:rsidR="00DA4A32">
              <w:rPr>
                <w:rFonts w:cs="Arial"/>
                <w:sz w:val="22"/>
                <w:szCs w:val="22"/>
              </w:rPr>
              <w:t xml:space="preserve"> few points of clarification remain before completing the first drafts of these documents. Completed drafts will be circulated to the group for review.</w:t>
            </w:r>
          </w:p>
        </w:tc>
        <w:tc>
          <w:tcPr>
            <w:tcW w:w="2789" w:type="dxa"/>
            <w:tcMar>
              <w:top w:w="29" w:type="dxa"/>
              <w:left w:w="86" w:type="dxa"/>
              <w:bottom w:w="29" w:type="dxa"/>
              <w:right w:w="86" w:type="dxa"/>
            </w:tcMar>
          </w:tcPr>
          <w:p w:rsidR="00534135" w:rsidRPr="00534135" w:rsidRDefault="00DA4A32" w:rsidP="00005109">
            <w:pPr>
              <w:keepNext/>
              <w:keepLines/>
              <w:rPr>
                <w:rFonts w:cs="Arial"/>
                <w:color w:val="FF0000"/>
                <w:sz w:val="22"/>
                <w:szCs w:val="22"/>
              </w:rPr>
            </w:pPr>
            <w:r w:rsidRPr="00DA4A32">
              <w:rPr>
                <w:rFonts w:cs="Arial"/>
                <w:sz w:val="22"/>
                <w:szCs w:val="22"/>
              </w:rPr>
              <w:t>Brenda, Natalie and Sherri will meet to complete the first drafts of these documents.</w:t>
            </w:r>
          </w:p>
        </w:tc>
      </w:tr>
      <w:tr w:rsidR="0017249E" w:rsidRPr="00D77AF2">
        <w:trPr>
          <w:trHeight w:val="303"/>
        </w:trPr>
        <w:tc>
          <w:tcPr>
            <w:tcW w:w="630" w:type="dxa"/>
            <w:tcMar>
              <w:top w:w="29" w:type="dxa"/>
              <w:left w:w="86" w:type="dxa"/>
              <w:bottom w:w="29" w:type="dxa"/>
              <w:right w:w="86" w:type="dxa"/>
            </w:tcMar>
          </w:tcPr>
          <w:p w:rsidR="0017249E" w:rsidRPr="00D77AF2" w:rsidRDefault="00AD106A" w:rsidP="00621712">
            <w:pPr>
              <w:jc w:val="right"/>
              <w:rPr>
                <w:rFonts w:cs="Arial"/>
                <w:sz w:val="22"/>
                <w:szCs w:val="22"/>
              </w:rPr>
            </w:pPr>
            <w:r>
              <w:rPr>
                <w:rFonts w:cs="Arial"/>
                <w:sz w:val="22"/>
                <w:szCs w:val="22"/>
              </w:rPr>
              <w:t>3.1</w:t>
            </w:r>
            <w:r w:rsidR="009443BA">
              <w:rPr>
                <w:rFonts w:cs="Arial"/>
                <w:sz w:val="22"/>
                <w:szCs w:val="22"/>
              </w:rPr>
              <w:t>1</w:t>
            </w:r>
          </w:p>
        </w:tc>
        <w:tc>
          <w:tcPr>
            <w:tcW w:w="6297" w:type="dxa"/>
            <w:tcMar>
              <w:top w:w="29" w:type="dxa"/>
              <w:left w:w="86" w:type="dxa"/>
              <w:bottom w:w="29" w:type="dxa"/>
              <w:right w:w="86" w:type="dxa"/>
            </w:tcMar>
          </w:tcPr>
          <w:p w:rsidR="0017249E" w:rsidRDefault="00DA4A32" w:rsidP="00005109">
            <w:pPr>
              <w:rPr>
                <w:rFonts w:cs="Arial"/>
                <w:b/>
                <w:sz w:val="22"/>
                <w:szCs w:val="22"/>
              </w:rPr>
            </w:pPr>
            <w:r>
              <w:rPr>
                <w:rFonts w:cs="Arial"/>
                <w:b/>
                <w:sz w:val="22"/>
                <w:szCs w:val="22"/>
              </w:rPr>
              <w:t>Standard way of dealing with Statistics Canada sources</w:t>
            </w:r>
          </w:p>
          <w:p w:rsidR="00DA4A32" w:rsidRPr="00DA4A32" w:rsidRDefault="00DA4A32" w:rsidP="00005109">
            <w:pPr>
              <w:rPr>
                <w:rFonts w:cs="Arial"/>
                <w:sz w:val="22"/>
                <w:szCs w:val="22"/>
              </w:rPr>
            </w:pPr>
            <w:r w:rsidRPr="00DA4A32">
              <w:rPr>
                <w:rFonts w:cs="Arial"/>
                <w:sz w:val="22"/>
                <w:szCs w:val="22"/>
              </w:rPr>
              <w:t>Virginia</w:t>
            </w:r>
            <w:r>
              <w:rPr>
                <w:rFonts w:cs="Arial"/>
                <w:sz w:val="22"/>
                <w:szCs w:val="22"/>
              </w:rPr>
              <w:t xml:space="preserve"> noted that Statistics Canada</w:t>
            </w:r>
            <w:r w:rsidRPr="00DA4A32">
              <w:rPr>
                <w:rFonts w:cs="Arial"/>
                <w:sz w:val="22"/>
                <w:szCs w:val="22"/>
              </w:rPr>
              <w:t xml:space="preserve"> </w:t>
            </w:r>
            <w:r>
              <w:rPr>
                <w:rFonts w:cs="Arial"/>
                <w:sz w:val="22"/>
                <w:szCs w:val="22"/>
              </w:rPr>
              <w:t xml:space="preserve">updates its </w:t>
            </w:r>
            <w:r w:rsidRPr="00DA4A32">
              <w:rPr>
                <w:rFonts w:cs="Arial"/>
                <w:sz w:val="22"/>
                <w:szCs w:val="22"/>
              </w:rPr>
              <w:t>websites frequently</w:t>
            </w:r>
            <w:r>
              <w:rPr>
                <w:rFonts w:cs="Arial"/>
                <w:sz w:val="22"/>
                <w:szCs w:val="22"/>
              </w:rPr>
              <w:t xml:space="preserve">, </w:t>
            </w:r>
            <w:r w:rsidR="006633B1">
              <w:rPr>
                <w:rFonts w:cs="Arial"/>
                <w:sz w:val="22"/>
                <w:szCs w:val="22"/>
              </w:rPr>
              <w:t>which quickly makes</w:t>
            </w:r>
            <w:r>
              <w:rPr>
                <w:rFonts w:cs="Arial"/>
                <w:sz w:val="22"/>
                <w:szCs w:val="22"/>
              </w:rPr>
              <w:t xml:space="preserve"> links </w:t>
            </w:r>
            <w:r w:rsidR="006633B1">
              <w:rPr>
                <w:rFonts w:cs="Arial"/>
                <w:sz w:val="22"/>
                <w:szCs w:val="22"/>
              </w:rPr>
              <w:t xml:space="preserve">provided in the Core Indicators </w:t>
            </w:r>
            <w:r>
              <w:rPr>
                <w:rFonts w:cs="Arial"/>
                <w:sz w:val="22"/>
                <w:szCs w:val="22"/>
              </w:rPr>
              <w:t>obsolete.</w:t>
            </w:r>
            <w:r w:rsidRPr="00DA4A32">
              <w:rPr>
                <w:rFonts w:cs="Arial"/>
                <w:sz w:val="22"/>
                <w:szCs w:val="22"/>
              </w:rPr>
              <w:t xml:space="preserve"> </w:t>
            </w:r>
            <w:r>
              <w:rPr>
                <w:rFonts w:cs="Arial"/>
                <w:sz w:val="22"/>
                <w:szCs w:val="22"/>
              </w:rPr>
              <w:t xml:space="preserve">Shanna noted that a past decision was made to include only </w:t>
            </w:r>
            <w:r w:rsidR="00596331">
              <w:rPr>
                <w:rFonts w:cs="Arial"/>
                <w:sz w:val="22"/>
                <w:szCs w:val="22"/>
              </w:rPr>
              <w:t xml:space="preserve">stable, </w:t>
            </w:r>
            <w:r>
              <w:rPr>
                <w:rFonts w:cs="Arial"/>
                <w:sz w:val="22"/>
                <w:szCs w:val="22"/>
              </w:rPr>
              <w:t xml:space="preserve">high-level Statistic Canada links and provide instructions (not hyperlinked) to </w:t>
            </w:r>
            <w:r w:rsidR="00596331">
              <w:rPr>
                <w:rFonts w:cs="Arial"/>
                <w:sz w:val="22"/>
                <w:szCs w:val="22"/>
              </w:rPr>
              <w:t>direct users to the pa</w:t>
            </w:r>
            <w:r>
              <w:rPr>
                <w:rFonts w:cs="Arial"/>
                <w:sz w:val="22"/>
                <w:szCs w:val="22"/>
              </w:rPr>
              <w:t xml:space="preserve">ges of interest.  </w:t>
            </w:r>
          </w:p>
          <w:p w:rsidR="0017249E" w:rsidRPr="003E39AC" w:rsidRDefault="0017249E" w:rsidP="00DA4A32">
            <w:pPr>
              <w:rPr>
                <w:rFonts w:cs="Arial"/>
                <w:sz w:val="22"/>
                <w:szCs w:val="22"/>
              </w:rPr>
            </w:pPr>
          </w:p>
        </w:tc>
        <w:tc>
          <w:tcPr>
            <w:tcW w:w="2789" w:type="dxa"/>
            <w:tcMar>
              <w:top w:w="29" w:type="dxa"/>
              <w:left w:w="86" w:type="dxa"/>
              <w:bottom w:w="29" w:type="dxa"/>
              <w:right w:w="86" w:type="dxa"/>
            </w:tcMar>
          </w:tcPr>
          <w:p w:rsidR="0017249E" w:rsidRDefault="00DA4A32" w:rsidP="00DA4A32">
            <w:pPr>
              <w:rPr>
                <w:rFonts w:cs="Arial"/>
                <w:sz w:val="22"/>
                <w:szCs w:val="22"/>
              </w:rPr>
            </w:pPr>
            <w:r>
              <w:rPr>
                <w:rFonts w:cs="Arial"/>
                <w:sz w:val="22"/>
                <w:szCs w:val="22"/>
              </w:rPr>
              <w:t>Suzanne will add this</w:t>
            </w:r>
            <w:r w:rsidR="00596331">
              <w:rPr>
                <w:rFonts w:cs="Arial"/>
                <w:sz w:val="22"/>
                <w:szCs w:val="22"/>
              </w:rPr>
              <w:t xml:space="preserve"> decision</w:t>
            </w:r>
            <w:r>
              <w:rPr>
                <w:rFonts w:cs="Arial"/>
                <w:sz w:val="22"/>
                <w:szCs w:val="22"/>
              </w:rPr>
              <w:t xml:space="preserve"> to the ‘Core Indicators Work Group Decisions’ spreadsheet.</w:t>
            </w:r>
            <w:r w:rsidR="0017249E">
              <w:rPr>
                <w:rFonts w:cs="Arial"/>
                <w:sz w:val="22"/>
                <w:szCs w:val="22"/>
              </w:rPr>
              <w:t xml:space="preserve"> </w:t>
            </w:r>
          </w:p>
        </w:tc>
      </w:tr>
      <w:tr w:rsidR="0017249E" w:rsidRPr="00D77AF2">
        <w:trPr>
          <w:trHeight w:val="303"/>
        </w:trPr>
        <w:tc>
          <w:tcPr>
            <w:tcW w:w="630" w:type="dxa"/>
            <w:tcMar>
              <w:top w:w="29" w:type="dxa"/>
              <w:left w:w="86" w:type="dxa"/>
              <w:bottom w:w="29" w:type="dxa"/>
              <w:right w:w="86" w:type="dxa"/>
            </w:tcMar>
          </w:tcPr>
          <w:p w:rsidR="0017249E" w:rsidRPr="00D77AF2" w:rsidRDefault="0017249E" w:rsidP="008F386E">
            <w:pPr>
              <w:jc w:val="center"/>
              <w:rPr>
                <w:rFonts w:cs="Arial"/>
                <w:sz w:val="22"/>
                <w:szCs w:val="22"/>
              </w:rPr>
            </w:pPr>
            <w:r>
              <w:rPr>
                <w:rFonts w:cs="Arial"/>
                <w:sz w:val="22"/>
                <w:szCs w:val="22"/>
              </w:rPr>
              <w:t>3.1</w:t>
            </w:r>
            <w:r w:rsidR="008F386E">
              <w:rPr>
                <w:rFonts w:cs="Arial"/>
                <w:sz w:val="22"/>
                <w:szCs w:val="22"/>
              </w:rPr>
              <w:t>2</w:t>
            </w:r>
          </w:p>
        </w:tc>
        <w:tc>
          <w:tcPr>
            <w:tcW w:w="6297" w:type="dxa"/>
            <w:tcMar>
              <w:top w:w="29" w:type="dxa"/>
              <w:left w:w="86" w:type="dxa"/>
              <w:bottom w:w="29" w:type="dxa"/>
              <w:right w:w="86" w:type="dxa"/>
            </w:tcMar>
          </w:tcPr>
          <w:p w:rsidR="0017249E" w:rsidRPr="008D4092" w:rsidRDefault="008F386E" w:rsidP="00005109">
            <w:pPr>
              <w:rPr>
                <w:rFonts w:cs="Arial"/>
                <w:b/>
                <w:sz w:val="22"/>
                <w:szCs w:val="22"/>
              </w:rPr>
            </w:pPr>
            <w:r>
              <w:rPr>
                <w:rFonts w:cs="Arial"/>
                <w:b/>
                <w:sz w:val="22"/>
                <w:szCs w:val="22"/>
              </w:rPr>
              <w:t>Ontario Public Health Standards blurb</w:t>
            </w:r>
          </w:p>
          <w:p w:rsidR="0017249E" w:rsidRDefault="008F386E" w:rsidP="006633B1">
            <w:pPr>
              <w:rPr>
                <w:rFonts w:cs="Arial"/>
                <w:sz w:val="22"/>
                <w:szCs w:val="22"/>
              </w:rPr>
            </w:pPr>
            <w:r>
              <w:rPr>
                <w:rFonts w:cs="Arial"/>
                <w:sz w:val="22"/>
                <w:szCs w:val="22"/>
              </w:rPr>
              <w:t xml:space="preserve">At the October 21, 2013 a suggestion was made to provide a link to </w:t>
            </w:r>
            <w:r w:rsidR="006633B1">
              <w:rPr>
                <w:rFonts w:cs="Arial"/>
                <w:sz w:val="22"/>
                <w:szCs w:val="22"/>
              </w:rPr>
              <w:t xml:space="preserve">the </w:t>
            </w:r>
            <w:r>
              <w:rPr>
                <w:rFonts w:cs="Arial"/>
                <w:sz w:val="22"/>
                <w:szCs w:val="22"/>
              </w:rPr>
              <w:t xml:space="preserve">standard blurb instead of including the text on each indicator page. However, it was decided to defer this in light of the amount of work that the change would require and the </w:t>
            </w:r>
            <w:r>
              <w:rPr>
                <w:rFonts w:cs="Arial"/>
                <w:sz w:val="22"/>
                <w:szCs w:val="22"/>
              </w:rPr>
              <w:lastRenderedPageBreak/>
              <w:t xml:space="preserve">upcoming website redesign. </w:t>
            </w:r>
          </w:p>
        </w:tc>
        <w:tc>
          <w:tcPr>
            <w:tcW w:w="2789" w:type="dxa"/>
            <w:tcMar>
              <w:top w:w="29" w:type="dxa"/>
              <w:left w:w="86" w:type="dxa"/>
              <w:bottom w:w="29" w:type="dxa"/>
              <w:right w:w="86" w:type="dxa"/>
            </w:tcMar>
          </w:tcPr>
          <w:p w:rsidR="0017249E" w:rsidRDefault="008F386E" w:rsidP="00005109">
            <w:pPr>
              <w:rPr>
                <w:rFonts w:cs="Arial"/>
                <w:sz w:val="22"/>
                <w:szCs w:val="22"/>
              </w:rPr>
            </w:pPr>
            <w:r>
              <w:rPr>
                <w:rFonts w:cs="Arial"/>
                <w:sz w:val="22"/>
                <w:szCs w:val="22"/>
              </w:rPr>
              <w:lastRenderedPageBreak/>
              <w:t>Suzanne will add this decision to the ‘Core Indicators Work Group Decisions’ spreadsheet.</w:t>
            </w:r>
          </w:p>
        </w:tc>
      </w:tr>
      <w:tr w:rsidR="0017249E" w:rsidRPr="00D77AF2">
        <w:trPr>
          <w:trHeight w:val="294"/>
        </w:trPr>
        <w:tc>
          <w:tcPr>
            <w:tcW w:w="630" w:type="dxa"/>
            <w:tcMar>
              <w:top w:w="29" w:type="dxa"/>
              <w:left w:w="86" w:type="dxa"/>
              <w:bottom w:w="29" w:type="dxa"/>
              <w:right w:w="86" w:type="dxa"/>
            </w:tcMar>
          </w:tcPr>
          <w:p w:rsidR="0017249E" w:rsidRPr="00D77AF2" w:rsidRDefault="0017249E" w:rsidP="007A66DD">
            <w:pPr>
              <w:jc w:val="right"/>
              <w:rPr>
                <w:rFonts w:cs="Arial"/>
                <w:sz w:val="22"/>
                <w:szCs w:val="22"/>
              </w:rPr>
            </w:pPr>
            <w:r>
              <w:rPr>
                <w:rFonts w:cs="Arial"/>
                <w:sz w:val="22"/>
                <w:szCs w:val="22"/>
              </w:rPr>
              <w:lastRenderedPageBreak/>
              <w:t>3.1</w:t>
            </w:r>
            <w:r w:rsidR="007A66DD">
              <w:rPr>
                <w:rFonts w:cs="Arial"/>
                <w:sz w:val="22"/>
                <w:szCs w:val="22"/>
              </w:rPr>
              <w:t>3</w:t>
            </w:r>
          </w:p>
        </w:tc>
        <w:tc>
          <w:tcPr>
            <w:tcW w:w="6297" w:type="dxa"/>
            <w:tcMar>
              <w:top w:w="29" w:type="dxa"/>
              <w:left w:w="86" w:type="dxa"/>
              <w:bottom w:w="29" w:type="dxa"/>
              <w:right w:w="86" w:type="dxa"/>
            </w:tcMar>
          </w:tcPr>
          <w:p w:rsidR="0017249E" w:rsidRPr="008D4092" w:rsidRDefault="007A66DD" w:rsidP="00005109">
            <w:pPr>
              <w:rPr>
                <w:rFonts w:cs="Arial"/>
                <w:b/>
                <w:sz w:val="22"/>
                <w:szCs w:val="22"/>
              </w:rPr>
            </w:pPr>
            <w:r>
              <w:rPr>
                <w:rFonts w:cs="Arial"/>
                <w:b/>
                <w:sz w:val="22"/>
                <w:szCs w:val="22"/>
              </w:rPr>
              <w:t>Data availability and access</w:t>
            </w:r>
          </w:p>
          <w:p w:rsidR="0017249E" w:rsidRPr="00570620" w:rsidRDefault="007A66DD" w:rsidP="003A200F">
            <w:pPr>
              <w:rPr>
                <w:rFonts w:cs="Arial"/>
                <w:b/>
                <w:sz w:val="22"/>
                <w:szCs w:val="22"/>
              </w:rPr>
            </w:pPr>
            <w:r w:rsidRPr="007A66DD">
              <w:rPr>
                <w:rFonts w:cs="Arial"/>
                <w:sz w:val="22"/>
                <w:szCs w:val="22"/>
              </w:rPr>
              <w:t>Virginia</w:t>
            </w:r>
            <w:r>
              <w:rPr>
                <w:rFonts w:cs="Arial"/>
                <w:sz w:val="22"/>
                <w:szCs w:val="22"/>
              </w:rPr>
              <w:t xml:space="preserve"> noted that</w:t>
            </w:r>
            <w:r w:rsidRPr="007A66DD">
              <w:rPr>
                <w:rFonts w:cs="Arial"/>
                <w:sz w:val="22"/>
                <w:szCs w:val="22"/>
              </w:rPr>
              <w:t xml:space="preserve"> APHEO </w:t>
            </w:r>
            <w:r>
              <w:rPr>
                <w:rFonts w:cs="Arial"/>
                <w:sz w:val="22"/>
                <w:szCs w:val="22"/>
              </w:rPr>
              <w:t xml:space="preserve">executive </w:t>
            </w:r>
            <w:r w:rsidRPr="007A66DD">
              <w:rPr>
                <w:rFonts w:cs="Arial"/>
                <w:sz w:val="22"/>
                <w:szCs w:val="22"/>
              </w:rPr>
              <w:t xml:space="preserve">will be putting forward a position paper </w:t>
            </w:r>
            <w:r>
              <w:rPr>
                <w:rFonts w:cs="Arial"/>
                <w:sz w:val="22"/>
                <w:szCs w:val="22"/>
              </w:rPr>
              <w:t xml:space="preserve">this summer </w:t>
            </w:r>
            <w:r w:rsidRPr="007A66DD">
              <w:rPr>
                <w:rFonts w:cs="Arial"/>
                <w:sz w:val="22"/>
                <w:szCs w:val="22"/>
              </w:rPr>
              <w:t>to address access to data needed for decision-making</w:t>
            </w:r>
            <w:r>
              <w:rPr>
                <w:rFonts w:cs="Arial"/>
                <w:sz w:val="22"/>
                <w:szCs w:val="22"/>
              </w:rPr>
              <w:t xml:space="preserve">. The position paper will be </w:t>
            </w:r>
            <w:r w:rsidRPr="007A66DD">
              <w:rPr>
                <w:rFonts w:cs="Arial"/>
                <w:sz w:val="22"/>
                <w:szCs w:val="22"/>
              </w:rPr>
              <w:t>use</w:t>
            </w:r>
            <w:r>
              <w:rPr>
                <w:rFonts w:cs="Arial"/>
                <w:sz w:val="22"/>
                <w:szCs w:val="22"/>
              </w:rPr>
              <w:t>d</w:t>
            </w:r>
            <w:r w:rsidRPr="007A66DD">
              <w:rPr>
                <w:rFonts w:cs="Arial"/>
                <w:sz w:val="22"/>
                <w:szCs w:val="22"/>
              </w:rPr>
              <w:t xml:space="preserve"> to advocate for access to </w:t>
            </w:r>
            <w:r w:rsidR="003A200F">
              <w:rPr>
                <w:rFonts w:cs="Arial"/>
                <w:sz w:val="22"/>
                <w:szCs w:val="22"/>
              </w:rPr>
              <w:t xml:space="preserve">more </w:t>
            </w:r>
            <w:r w:rsidRPr="007A66DD">
              <w:rPr>
                <w:rFonts w:cs="Arial"/>
                <w:sz w:val="22"/>
                <w:szCs w:val="22"/>
              </w:rPr>
              <w:t>data, specifically thr</w:t>
            </w:r>
            <w:r>
              <w:rPr>
                <w:rFonts w:cs="Arial"/>
                <w:sz w:val="22"/>
                <w:szCs w:val="22"/>
              </w:rPr>
              <w:t>ough</w:t>
            </w:r>
            <w:r w:rsidRPr="007A66DD">
              <w:rPr>
                <w:rFonts w:cs="Arial"/>
                <w:sz w:val="22"/>
                <w:szCs w:val="22"/>
              </w:rPr>
              <w:t xml:space="preserve"> </w:t>
            </w:r>
            <w:r>
              <w:rPr>
                <w:rFonts w:cs="Arial"/>
                <w:sz w:val="22"/>
                <w:szCs w:val="22"/>
              </w:rPr>
              <w:t xml:space="preserve">Statistics Canada and will be shared with </w:t>
            </w:r>
            <w:proofErr w:type="spellStart"/>
            <w:r>
              <w:rPr>
                <w:rFonts w:cs="Arial"/>
                <w:sz w:val="22"/>
                <w:szCs w:val="22"/>
              </w:rPr>
              <w:t>a</w:t>
            </w:r>
            <w:r w:rsidR="003A200F">
              <w:rPr>
                <w:rFonts w:cs="Arial"/>
                <w:sz w:val="22"/>
                <w:szCs w:val="22"/>
              </w:rPr>
              <w:t>lPH</w:t>
            </w:r>
            <w:r>
              <w:rPr>
                <w:rFonts w:cs="Arial"/>
                <w:sz w:val="22"/>
                <w:szCs w:val="22"/>
              </w:rPr>
              <w:t>a</w:t>
            </w:r>
            <w:proofErr w:type="spellEnd"/>
            <w:r>
              <w:rPr>
                <w:rFonts w:cs="Arial"/>
                <w:sz w:val="22"/>
                <w:szCs w:val="22"/>
              </w:rPr>
              <w:t xml:space="preserve"> in attempts to garner their support</w:t>
            </w:r>
            <w:r w:rsidRPr="007A66DD">
              <w:rPr>
                <w:rFonts w:cs="Arial"/>
                <w:sz w:val="22"/>
                <w:szCs w:val="22"/>
              </w:rPr>
              <w:t xml:space="preserve">. </w:t>
            </w:r>
          </w:p>
        </w:tc>
        <w:tc>
          <w:tcPr>
            <w:tcW w:w="2789" w:type="dxa"/>
            <w:tcMar>
              <w:top w:w="29" w:type="dxa"/>
              <w:left w:w="86" w:type="dxa"/>
              <w:bottom w:w="29" w:type="dxa"/>
              <w:right w:w="86" w:type="dxa"/>
            </w:tcMar>
          </w:tcPr>
          <w:p w:rsidR="0017249E" w:rsidRDefault="007A66DD" w:rsidP="00005109">
            <w:pPr>
              <w:rPr>
                <w:rFonts w:cs="Arial"/>
                <w:sz w:val="22"/>
                <w:szCs w:val="22"/>
              </w:rPr>
            </w:pPr>
            <w:r>
              <w:rPr>
                <w:rFonts w:cs="Arial"/>
                <w:sz w:val="22"/>
                <w:szCs w:val="22"/>
              </w:rPr>
              <w:t>Defer this item pending the outcome of APHEO executive’s efforts.</w:t>
            </w:r>
          </w:p>
        </w:tc>
      </w:tr>
      <w:tr w:rsidR="0017249E" w:rsidRPr="00D77AF2">
        <w:trPr>
          <w:trHeight w:val="339"/>
        </w:trPr>
        <w:tc>
          <w:tcPr>
            <w:tcW w:w="630" w:type="dxa"/>
            <w:tcMar>
              <w:top w:w="29" w:type="dxa"/>
              <w:left w:w="86" w:type="dxa"/>
              <w:bottom w:w="29" w:type="dxa"/>
              <w:right w:w="86" w:type="dxa"/>
            </w:tcMar>
          </w:tcPr>
          <w:p w:rsidR="0017249E" w:rsidRPr="0098731C" w:rsidRDefault="00650C20" w:rsidP="0012274E">
            <w:pPr>
              <w:keepNext/>
              <w:keepLines/>
              <w:jc w:val="right"/>
              <w:rPr>
                <w:rFonts w:cs="Arial"/>
                <w:sz w:val="22"/>
                <w:szCs w:val="22"/>
              </w:rPr>
            </w:pPr>
            <w:r>
              <w:rPr>
                <w:rFonts w:cs="Arial"/>
                <w:sz w:val="22"/>
                <w:szCs w:val="22"/>
              </w:rPr>
              <w:t>3</w:t>
            </w:r>
            <w:r w:rsidR="003A200F">
              <w:rPr>
                <w:rFonts w:cs="Arial"/>
                <w:sz w:val="22"/>
                <w:szCs w:val="22"/>
              </w:rPr>
              <w:t>.14</w:t>
            </w:r>
          </w:p>
        </w:tc>
        <w:tc>
          <w:tcPr>
            <w:tcW w:w="6297" w:type="dxa"/>
            <w:tcMar>
              <w:top w:w="29" w:type="dxa"/>
              <w:left w:w="86" w:type="dxa"/>
              <w:bottom w:w="29" w:type="dxa"/>
              <w:right w:w="86" w:type="dxa"/>
            </w:tcMar>
          </w:tcPr>
          <w:p w:rsidR="0017249E" w:rsidRPr="008D4092" w:rsidRDefault="003A200F" w:rsidP="00005109">
            <w:pPr>
              <w:rPr>
                <w:rFonts w:cs="Arial"/>
                <w:b/>
                <w:sz w:val="22"/>
                <w:szCs w:val="22"/>
              </w:rPr>
            </w:pPr>
            <w:r>
              <w:rPr>
                <w:rFonts w:cs="Arial"/>
                <w:b/>
                <w:sz w:val="22"/>
                <w:szCs w:val="22"/>
              </w:rPr>
              <w:t>Denominator issues for infectious disease indicators</w:t>
            </w:r>
          </w:p>
          <w:p w:rsidR="003A200F" w:rsidRPr="003A200F" w:rsidRDefault="003A200F" w:rsidP="003A200F">
            <w:pPr>
              <w:rPr>
                <w:rFonts w:cs="Arial"/>
                <w:sz w:val="22"/>
                <w:szCs w:val="22"/>
              </w:rPr>
            </w:pPr>
            <w:r>
              <w:rPr>
                <w:rFonts w:cs="Arial"/>
                <w:sz w:val="22"/>
                <w:szCs w:val="22"/>
              </w:rPr>
              <w:t>PHO has made some recommendations on how the issue of population denominators will be handled for PHO reports going forward (i.e., reports published in 2015</w:t>
            </w:r>
            <w:r w:rsidR="006633B1">
              <w:rPr>
                <w:rFonts w:cs="Arial"/>
                <w:sz w:val="22"/>
                <w:szCs w:val="22"/>
              </w:rPr>
              <w:t xml:space="preserve"> and beyond</w:t>
            </w:r>
            <w:r>
              <w:rPr>
                <w:rFonts w:cs="Arial"/>
                <w:sz w:val="22"/>
                <w:szCs w:val="22"/>
              </w:rPr>
              <w:t xml:space="preserve">). Because of the issue of up-to-date data, especially in the case of infectious disease, PHO is moving toward </w:t>
            </w:r>
            <w:r w:rsidR="006633B1">
              <w:rPr>
                <w:rFonts w:cs="Arial"/>
                <w:sz w:val="22"/>
                <w:szCs w:val="22"/>
              </w:rPr>
              <w:t xml:space="preserve">using </w:t>
            </w:r>
            <w:r>
              <w:rPr>
                <w:rFonts w:cs="Arial"/>
                <w:sz w:val="22"/>
                <w:szCs w:val="22"/>
              </w:rPr>
              <w:t>population projections rather than population estimates. The limitations of use population projections were noted (e.g., population projections are provided by county and not health unit and for several health units county and health unit boundaries do not align.</w:t>
            </w:r>
            <w:r w:rsidR="006633B1">
              <w:rPr>
                <w:rFonts w:cs="Arial"/>
                <w:sz w:val="22"/>
                <w:szCs w:val="22"/>
              </w:rPr>
              <w:t xml:space="preserve"> </w:t>
            </w:r>
            <w:r>
              <w:rPr>
                <w:rFonts w:cs="Arial"/>
                <w:sz w:val="22"/>
                <w:szCs w:val="22"/>
              </w:rPr>
              <w:t xml:space="preserve">The MOHLTC has a suggested approach to calculate projected populations by health unit). Ruth Sanderson suggested that this might be </w:t>
            </w:r>
            <w:r w:rsidR="00650C20">
              <w:rPr>
                <w:rFonts w:cs="Arial"/>
                <w:sz w:val="22"/>
                <w:szCs w:val="22"/>
              </w:rPr>
              <w:t xml:space="preserve">useful to include this topic at </w:t>
            </w:r>
            <w:r>
              <w:rPr>
                <w:rFonts w:cs="Arial"/>
                <w:sz w:val="22"/>
                <w:szCs w:val="22"/>
              </w:rPr>
              <w:t xml:space="preserve">APHEO conference in September. </w:t>
            </w:r>
          </w:p>
          <w:p w:rsidR="0017249E" w:rsidRPr="003E39AC" w:rsidRDefault="0017249E" w:rsidP="003A200F">
            <w:pPr>
              <w:rPr>
                <w:rFonts w:cs="Arial"/>
                <w:sz w:val="22"/>
                <w:szCs w:val="22"/>
              </w:rPr>
            </w:pPr>
          </w:p>
        </w:tc>
        <w:tc>
          <w:tcPr>
            <w:tcW w:w="2789" w:type="dxa"/>
            <w:tcMar>
              <w:top w:w="29" w:type="dxa"/>
              <w:left w:w="86" w:type="dxa"/>
              <w:bottom w:w="29" w:type="dxa"/>
              <w:right w:w="86" w:type="dxa"/>
            </w:tcMar>
          </w:tcPr>
          <w:p w:rsidR="0017249E" w:rsidRDefault="00650C20" w:rsidP="00005109">
            <w:pPr>
              <w:rPr>
                <w:rFonts w:cs="Arial"/>
                <w:sz w:val="22"/>
                <w:szCs w:val="22"/>
              </w:rPr>
            </w:pPr>
            <w:r>
              <w:rPr>
                <w:rFonts w:cs="Arial"/>
                <w:sz w:val="22"/>
                <w:szCs w:val="22"/>
              </w:rPr>
              <w:t>Natalie will follow-up with Ruth.</w:t>
            </w:r>
          </w:p>
        </w:tc>
      </w:tr>
      <w:tr w:rsidR="0017249E" w:rsidRPr="00D77AF2">
        <w:trPr>
          <w:trHeight w:val="339"/>
        </w:trPr>
        <w:tc>
          <w:tcPr>
            <w:tcW w:w="630" w:type="dxa"/>
            <w:tcMar>
              <w:top w:w="29" w:type="dxa"/>
              <w:left w:w="86" w:type="dxa"/>
              <w:bottom w:w="29" w:type="dxa"/>
              <w:right w:w="86" w:type="dxa"/>
            </w:tcMar>
          </w:tcPr>
          <w:p w:rsidR="0017249E" w:rsidRDefault="0017249E" w:rsidP="00621712">
            <w:pPr>
              <w:jc w:val="right"/>
              <w:rPr>
                <w:rFonts w:cs="Arial"/>
                <w:sz w:val="22"/>
                <w:szCs w:val="22"/>
              </w:rPr>
            </w:pPr>
            <w:r>
              <w:rPr>
                <w:rFonts w:cs="Arial"/>
                <w:sz w:val="22"/>
                <w:szCs w:val="22"/>
              </w:rPr>
              <w:t>4.</w:t>
            </w:r>
            <w:r w:rsidR="0092014C">
              <w:rPr>
                <w:rFonts w:cs="Arial"/>
                <w:sz w:val="22"/>
                <w:szCs w:val="22"/>
              </w:rPr>
              <w:t>0</w:t>
            </w:r>
          </w:p>
        </w:tc>
        <w:tc>
          <w:tcPr>
            <w:tcW w:w="6297" w:type="dxa"/>
            <w:tcMar>
              <w:top w:w="29" w:type="dxa"/>
              <w:left w:w="86" w:type="dxa"/>
              <w:bottom w:w="29" w:type="dxa"/>
              <w:right w:w="86" w:type="dxa"/>
            </w:tcMar>
          </w:tcPr>
          <w:p w:rsidR="0017249E" w:rsidRPr="00570620" w:rsidRDefault="0092014C" w:rsidP="0039400C">
            <w:pPr>
              <w:rPr>
                <w:rFonts w:cs="Arial"/>
                <w:b/>
                <w:sz w:val="22"/>
                <w:szCs w:val="22"/>
              </w:rPr>
            </w:pPr>
            <w:r>
              <w:rPr>
                <w:rFonts w:cs="Arial"/>
                <w:b/>
                <w:sz w:val="22"/>
                <w:szCs w:val="22"/>
              </w:rPr>
              <w:t>New Business arising</w:t>
            </w:r>
          </w:p>
        </w:tc>
        <w:tc>
          <w:tcPr>
            <w:tcW w:w="2789" w:type="dxa"/>
            <w:tcMar>
              <w:top w:w="29" w:type="dxa"/>
              <w:left w:w="86" w:type="dxa"/>
              <w:bottom w:w="29" w:type="dxa"/>
              <w:right w:w="86" w:type="dxa"/>
            </w:tcMar>
          </w:tcPr>
          <w:p w:rsidR="0017249E" w:rsidRDefault="0017249E" w:rsidP="00570620">
            <w:pPr>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D77AF2" w:rsidRDefault="0092014C" w:rsidP="00D52F48">
            <w:pPr>
              <w:keepNext/>
              <w:keepLines/>
              <w:rPr>
                <w:rFonts w:cs="Arial"/>
                <w:b/>
                <w:sz w:val="22"/>
                <w:szCs w:val="22"/>
              </w:rPr>
            </w:pPr>
            <w:r>
              <w:rPr>
                <w:rFonts w:cs="Arial"/>
                <w:b/>
                <w:sz w:val="22"/>
                <w:szCs w:val="22"/>
              </w:rPr>
              <w:lastRenderedPageBreak/>
              <w:t>4.1</w:t>
            </w:r>
          </w:p>
        </w:tc>
        <w:tc>
          <w:tcPr>
            <w:tcW w:w="6297" w:type="dxa"/>
            <w:tcMar>
              <w:top w:w="29" w:type="dxa"/>
              <w:left w:w="86" w:type="dxa"/>
              <w:bottom w:w="29" w:type="dxa"/>
              <w:right w:w="86" w:type="dxa"/>
            </w:tcMar>
          </w:tcPr>
          <w:p w:rsidR="00650C20" w:rsidRPr="00650C20" w:rsidRDefault="00650C20" w:rsidP="00650C20">
            <w:pPr>
              <w:rPr>
                <w:rFonts w:cs="Arial"/>
                <w:sz w:val="22"/>
                <w:szCs w:val="22"/>
              </w:rPr>
            </w:pPr>
            <w:r w:rsidRPr="00650C20">
              <w:rPr>
                <w:rFonts w:cs="Arial"/>
                <w:sz w:val="22"/>
                <w:szCs w:val="22"/>
              </w:rPr>
              <w:t>New Indicators</w:t>
            </w:r>
          </w:p>
          <w:p w:rsidR="00650C20" w:rsidRPr="00D310B6" w:rsidRDefault="00650C20" w:rsidP="00D310B6">
            <w:pPr>
              <w:pStyle w:val="ListParagraph"/>
              <w:numPr>
                <w:ilvl w:val="0"/>
                <w:numId w:val="19"/>
              </w:numPr>
              <w:rPr>
                <w:rFonts w:ascii="Arial" w:hAnsi="Arial" w:cs="Arial"/>
              </w:rPr>
            </w:pPr>
            <w:r w:rsidRPr="00D310B6">
              <w:rPr>
                <w:rFonts w:ascii="Arial" w:hAnsi="Arial" w:cs="Arial"/>
              </w:rPr>
              <w:t>Preventable Mortality indicator</w:t>
            </w:r>
            <w:r w:rsidR="00836780">
              <w:rPr>
                <w:rFonts w:ascii="Arial" w:hAnsi="Arial" w:cs="Arial"/>
              </w:rPr>
              <w:t xml:space="preserve"> (</w:t>
            </w:r>
            <w:r w:rsidR="006633B1">
              <w:rPr>
                <w:rFonts w:ascii="Arial" w:hAnsi="Arial" w:cs="Arial"/>
              </w:rPr>
              <w:t>The “</w:t>
            </w:r>
            <w:r w:rsidR="00836780">
              <w:rPr>
                <w:rFonts w:ascii="Arial" w:hAnsi="Arial" w:cs="Arial"/>
              </w:rPr>
              <w:t xml:space="preserve">Preventable </w:t>
            </w:r>
            <w:r w:rsidR="006633B1">
              <w:rPr>
                <w:rFonts w:ascii="Arial" w:hAnsi="Arial" w:cs="Arial"/>
              </w:rPr>
              <w:t>M</w:t>
            </w:r>
            <w:r w:rsidR="00836780">
              <w:rPr>
                <w:rFonts w:ascii="Arial" w:hAnsi="Arial" w:cs="Arial"/>
              </w:rPr>
              <w:t>ortality</w:t>
            </w:r>
            <w:r w:rsidR="006633B1">
              <w:rPr>
                <w:rFonts w:ascii="Arial" w:hAnsi="Arial" w:cs="Arial"/>
              </w:rPr>
              <w:t>”</w:t>
            </w:r>
            <w:r w:rsidR="00836780">
              <w:rPr>
                <w:rFonts w:ascii="Arial" w:hAnsi="Arial" w:cs="Arial"/>
              </w:rPr>
              <w:t xml:space="preserve"> subgroup was assembled to work address this – see item 5.6 below) </w:t>
            </w:r>
          </w:p>
          <w:p w:rsidR="00650C20" w:rsidRPr="00D310B6" w:rsidRDefault="00650C20" w:rsidP="00C570CA">
            <w:pPr>
              <w:pStyle w:val="ListParagraph"/>
              <w:numPr>
                <w:ilvl w:val="0"/>
                <w:numId w:val="19"/>
              </w:numPr>
              <w:rPr>
                <w:rFonts w:ascii="Arial" w:hAnsi="Arial" w:cs="Arial"/>
              </w:rPr>
            </w:pPr>
            <w:r w:rsidRPr="00D310B6">
              <w:rPr>
                <w:rFonts w:ascii="Arial" w:hAnsi="Arial" w:cs="Arial"/>
              </w:rPr>
              <w:t>LRADGs – Youth and Child indicators</w:t>
            </w:r>
            <w:r w:rsidR="00D310B6" w:rsidRPr="00D310B6">
              <w:rPr>
                <w:rFonts w:ascii="Arial" w:hAnsi="Arial" w:cs="Arial"/>
              </w:rPr>
              <w:t xml:space="preserve"> (</w:t>
            </w:r>
            <w:r w:rsidR="00836780">
              <w:rPr>
                <w:rFonts w:ascii="Arial" w:hAnsi="Arial" w:cs="Arial"/>
              </w:rPr>
              <w:t xml:space="preserve">To be determined if these </w:t>
            </w:r>
            <w:r w:rsidR="006633B1">
              <w:rPr>
                <w:rFonts w:ascii="Arial" w:hAnsi="Arial" w:cs="Arial"/>
              </w:rPr>
              <w:t>will be</w:t>
            </w:r>
            <w:r w:rsidR="00836780">
              <w:rPr>
                <w:rFonts w:ascii="Arial" w:hAnsi="Arial" w:cs="Arial"/>
              </w:rPr>
              <w:t xml:space="preserve"> developed under the</w:t>
            </w:r>
            <w:r w:rsidR="00D310B6" w:rsidRPr="00D310B6">
              <w:rPr>
                <w:rFonts w:ascii="Arial" w:hAnsi="Arial" w:cs="Arial"/>
              </w:rPr>
              <w:t xml:space="preserve"> HEAL </w:t>
            </w:r>
            <w:r w:rsidR="00836780">
              <w:rPr>
                <w:rFonts w:ascii="Arial" w:hAnsi="Arial" w:cs="Arial"/>
              </w:rPr>
              <w:t>or</w:t>
            </w:r>
            <w:r w:rsidR="00D310B6" w:rsidRPr="00D310B6">
              <w:rPr>
                <w:rFonts w:ascii="Arial" w:hAnsi="Arial" w:cs="Arial"/>
              </w:rPr>
              <w:t xml:space="preserve"> Injury </w:t>
            </w:r>
            <w:r w:rsidR="00836780" w:rsidRPr="00836780">
              <w:rPr>
                <w:rFonts w:ascii="Arial" w:hAnsi="Arial" w:cs="Arial"/>
              </w:rPr>
              <w:t>and substance misuse prevention</w:t>
            </w:r>
            <w:r w:rsidR="00885E80">
              <w:rPr>
                <w:rFonts w:ascii="Arial" w:hAnsi="Arial" w:cs="Arial"/>
              </w:rPr>
              <w:t xml:space="preserve"> or </w:t>
            </w:r>
            <w:r w:rsidR="00C570CA">
              <w:rPr>
                <w:rFonts w:ascii="Arial" w:hAnsi="Arial" w:cs="Arial"/>
              </w:rPr>
              <w:t xml:space="preserve">Child Youth Indicator </w:t>
            </w:r>
            <w:r w:rsidR="00C570CA" w:rsidRPr="00C570CA">
              <w:rPr>
                <w:rFonts w:ascii="Arial" w:hAnsi="Arial" w:cs="Arial"/>
              </w:rPr>
              <w:t>subgroup</w:t>
            </w:r>
            <w:r w:rsidR="00C570CA">
              <w:rPr>
                <w:rFonts w:ascii="Arial" w:hAnsi="Arial" w:cs="Arial"/>
              </w:rPr>
              <w:t>s</w:t>
            </w:r>
            <w:r w:rsidR="00D310B6" w:rsidRPr="00D310B6">
              <w:rPr>
                <w:rFonts w:ascii="Arial" w:hAnsi="Arial" w:cs="Arial"/>
              </w:rPr>
              <w:t>).</w:t>
            </w:r>
          </w:p>
          <w:p w:rsidR="0092014C" w:rsidRPr="00D310B6" w:rsidRDefault="00650C20" w:rsidP="00D310B6">
            <w:pPr>
              <w:pStyle w:val="ListParagraph"/>
              <w:numPr>
                <w:ilvl w:val="0"/>
                <w:numId w:val="19"/>
              </w:numPr>
              <w:rPr>
                <w:rFonts w:cs="Arial"/>
              </w:rPr>
            </w:pPr>
            <w:r w:rsidRPr="00D310B6">
              <w:rPr>
                <w:rFonts w:ascii="Arial" w:hAnsi="Arial" w:cs="Arial"/>
              </w:rPr>
              <w:t>Alcohol Attributable fraction indicator</w:t>
            </w:r>
            <w:r w:rsidR="00836780">
              <w:rPr>
                <w:rFonts w:ascii="Arial" w:hAnsi="Arial" w:cs="Arial"/>
              </w:rPr>
              <w:t xml:space="preserve"> (will be developed by the Injury and substance misuse prevention subgroup – see item 5.3 below)</w:t>
            </w:r>
          </w:p>
        </w:tc>
        <w:tc>
          <w:tcPr>
            <w:tcW w:w="2789" w:type="dxa"/>
            <w:tcMar>
              <w:top w:w="29" w:type="dxa"/>
              <w:left w:w="86" w:type="dxa"/>
              <w:bottom w:w="29" w:type="dxa"/>
              <w:right w:w="86" w:type="dxa"/>
            </w:tcMar>
          </w:tcPr>
          <w:p w:rsidR="0092014C" w:rsidRPr="00D77AF2" w:rsidRDefault="0092014C" w:rsidP="00836780">
            <w:pPr>
              <w:keepNext/>
              <w:keepLines/>
              <w:ind w:left="101"/>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D77AF2" w:rsidRDefault="0092014C" w:rsidP="00D52F48">
            <w:pPr>
              <w:keepNext/>
              <w:keepLines/>
              <w:rPr>
                <w:rFonts w:cs="Arial"/>
                <w:b/>
                <w:sz w:val="22"/>
                <w:szCs w:val="22"/>
              </w:rPr>
            </w:pPr>
            <w:r>
              <w:rPr>
                <w:rFonts w:cs="Arial"/>
                <w:b/>
                <w:sz w:val="22"/>
                <w:szCs w:val="22"/>
              </w:rPr>
              <w:t>4.2</w:t>
            </w:r>
          </w:p>
        </w:tc>
        <w:tc>
          <w:tcPr>
            <w:tcW w:w="6297" w:type="dxa"/>
            <w:tcMar>
              <w:top w:w="29" w:type="dxa"/>
              <w:left w:w="86" w:type="dxa"/>
              <w:bottom w:w="29" w:type="dxa"/>
              <w:right w:w="86" w:type="dxa"/>
            </w:tcMar>
          </w:tcPr>
          <w:p w:rsidR="0092014C" w:rsidRDefault="00650C20" w:rsidP="00005109">
            <w:pPr>
              <w:rPr>
                <w:rFonts w:cs="Arial"/>
                <w:sz w:val="22"/>
                <w:szCs w:val="22"/>
              </w:rPr>
            </w:pPr>
            <w:r>
              <w:rPr>
                <w:rFonts w:cs="Arial"/>
                <w:sz w:val="22"/>
                <w:szCs w:val="22"/>
              </w:rPr>
              <w:t>APHEO Workshop 2014</w:t>
            </w:r>
            <w:r w:rsidR="0092014C">
              <w:rPr>
                <w:rFonts w:cs="Arial"/>
                <w:sz w:val="22"/>
                <w:szCs w:val="22"/>
              </w:rPr>
              <w:t>:</w:t>
            </w:r>
          </w:p>
          <w:p w:rsidR="0092484C" w:rsidRDefault="0092484C" w:rsidP="00650C20">
            <w:pPr>
              <w:rPr>
                <w:rFonts w:cs="Arial"/>
                <w:sz w:val="22"/>
                <w:szCs w:val="22"/>
              </w:rPr>
            </w:pPr>
            <w:r>
              <w:rPr>
                <w:rFonts w:cs="Arial"/>
                <w:sz w:val="22"/>
                <w:szCs w:val="22"/>
              </w:rPr>
              <w:t>Brenda reported:</w:t>
            </w:r>
            <w:r w:rsidR="00991A71">
              <w:rPr>
                <w:rFonts w:cs="Arial"/>
                <w:sz w:val="22"/>
                <w:szCs w:val="22"/>
              </w:rPr>
              <w:t xml:space="preserve"> </w:t>
            </w:r>
            <w:r w:rsidR="00650C20">
              <w:rPr>
                <w:rFonts w:cs="Arial"/>
                <w:sz w:val="22"/>
                <w:szCs w:val="22"/>
              </w:rPr>
              <w:t xml:space="preserve">The planning committee consists of Brenda, </w:t>
            </w:r>
            <w:r w:rsidR="00650C20" w:rsidRPr="00650C20">
              <w:rPr>
                <w:rFonts w:cs="Arial"/>
                <w:sz w:val="22"/>
                <w:szCs w:val="22"/>
              </w:rPr>
              <w:t xml:space="preserve">Ahalya, </w:t>
            </w:r>
            <w:r w:rsidR="00885E80">
              <w:rPr>
                <w:rFonts w:cs="Arial"/>
                <w:sz w:val="22"/>
                <w:szCs w:val="22"/>
              </w:rPr>
              <w:t xml:space="preserve">Suzanne, </w:t>
            </w:r>
            <w:r w:rsidR="00650C20" w:rsidRPr="00650C20">
              <w:rPr>
                <w:rFonts w:cs="Arial"/>
                <w:sz w:val="22"/>
                <w:szCs w:val="22"/>
              </w:rPr>
              <w:t>Cam</w:t>
            </w:r>
            <w:r w:rsidR="00650C20">
              <w:rPr>
                <w:rFonts w:cs="Arial"/>
                <w:sz w:val="22"/>
                <w:szCs w:val="22"/>
              </w:rPr>
              <w:t xml:space="preserve"> and </w:t>
            </w:r>
            <w:r w:rsidR="00650C20" w:rsidRPr="00650C20">
              <w:rPr>
                <w:rFonts w:cs="Arial"/>
                <w:sz w:val="22"/>
                <w:szCs w:val="22"/>
              </w:rPr>
              <w:t>Chuck</w:t>
            </w:r>
            <w:r w:rsidR="00650C20">
              <w:rPr>
                <w:rFonts w:cs="Arial"/>
                <w:sz w:val="22"/>
                <w:szCs w:val="22"/>
              </w:rPr>
              <w:t xml:space="preserve">.  Chuck and Ahalya </w:t>
            </w:r>
            <w:r w:rsidR="00907B1C">
              <w:rPr>
                <w:rFonts w:cs="Arial"/>
                <w:sz w:val="22"/>
                <w:szCs w:val="22"/>
              </w:rPr>
              <w:t>conducted</w:t>
            </w:r>
            <w:r w:rsidR="00650C20">
              <w:rPr>
                <w:rFonts w:cs="Arial"/>
                <w:sz w:val="22"/>
                <w:szCs w:val="22"/>
              </w:rPr>
              <w:t xml:space="preserve"> a site visit of the Eaton Chelsea</w:t>
            </w:r>
            <w:r w:rsidR="006633B1">
              <w:rPr>
                <w:rFonts w:cs="Arial"/>
                <w:sz w:val="22"/>
                <w:szCs w:val="22"/>
              </w:rPr>
              <w:t xml:space="preserve"> and found it to be appropriate</w:t>
            </w:r>
            <w:r w:rsidR="00650C20">
              <w:rPr>
                <w:rFonts w:cs="Arial"/>
                <w:sz w:val="22"/>
                <w:szCs w:val="22"/>
              </w:rPr>
              <w:t>. The hotel has agreed with changes suggested by the planning committee and the contract should be finalized this week</w:t>
            </w:r>
            <w:r>
              <w:rPr>
                <w:rFonts w:cs="Arial"/>
                <w:sz w:val="22"/>
                <w:szCs w:val="22"/>
              </w:rPr>
              <w:t>:</w:t>
            </w:r>
          </w:p>
          <w:p w:rsidR="0092484C" w:rsidRDefault="0092484C" w:rsidP="00724895">
            <w:pPr>
              <w:pStyle w:val="ListParagraph"/>
              <w:numPr>
                <w:ilvl w:val="0"/>
                <w:numId w:val="16"/>
              </w:numPr>
              <w:rPr>
                <w:rFonts w:ascii="Arial" w:hAnsi="Arial" w:cs="Arial"/>
              </w:rPr>
            </w:pPr>
            <w:r>
              <w:rPr>
                <w:rFonts w:ascii="Arial" w:hAnsi="Arial" w:cs="Arial"/>
              </w:rPr>
              <w:t>Venue: Eaton Chelsea, 33 Gerrard St. W., Toronto</w:t>
            </w:r>
            <w:r w:rsidR="00724895">
              <w:rPr>
                <w:rFonts w:ascii="Arial" w:hAnsi="Arial" w:cs="Arial"/>
              </w:rPr>
              <w:t>,</w:t>
            </w:r>
            <w:r w:rsidR="00724895">
              <w:t xml:space="preserve"> </w:t>
            </w:r>
            <w:r w:rsidR="00724895" w:rsidRPr="00724895">
              <w:rPr>
                <w:rFonts w:ascii="Arial" w:hAnsi="Arial" w:cs="Arial"/>
              </w:rPr>
              <w:t xml:space="preserve">M5G 1Z4 </w:t>
            </w:r>
            <w:r w:rsidR="00724895">
              <w:rPr>
                <w:rFonts w:ascii="Arial" w:hAnsi="Arial" w:cs="Arial"/>
              </w:rPr>
              <w:t xml:space="preserve"> </w:t>
            </w:r>
          </w:p>
          <w:p w:rsidR="0092484C" w:rsidRPr="0092484C" w:rsidRDefault="0092484C" w:rsidP="0092484C">
            <w:pPr>
              <w:pStyle w:val="ListParagraph"/>
              <w:numPr>
                <w:ilvl w:val="0"/>
                <w:numId w:val="16"/>
              </w:numPr>
              <w:rPr>
                <w:rFonts w:ascii="Arial" w:hAnsi="Arial" w:cs="Arial"/>
              </w:rPr>
            </w:pPr>
            <w:r w:rsidRPr="0092484C">
              <w:rPr>
                <w:rFonts w:ascii="Arial" w:hAnsi="Arial" w:cs="Arial"/>
              </w:rPr>
              <w:t>Date: September 15 and 16, 2014 (Monday &amp; Tuesday)</w:t>
            </w:r>
          </w:p>
          <w:p w:rsidR="0092484C" w:rsidRPr="0092484C" w:rsidRDefault="0092484C" w:rsidP="0092484C">
            <w:pPr>
              <w:pStyle w:val="ListParagraph"/>
              <w:numPr>
                <w:ilvl w:val="0"/>
                <w:numId w:val="16"/>
              </w:numPr>
              <w:rPr>
                <w:rFonts w:ascii="Arial" w:hAnsi="Arial" w:cs="Arial"/>
              </w:rPr>
            </w:pPr>
            <w:r w:rsidRPr="0092484C">
              <w:rPr>
                <w:rFonts w:ascii="Arial" w:hAnsi="Arial" w:cs="Arial"/>
              </w:rPr>
              <w:t xml:space="preserve">An APHEO general meeting is tentatively scheduled for </w:t>
            </w:r>
            <w:r w:rsidR="00724895">
              <w:rPr>
                <w:rFonts w:ascii="Arial" w:hAnsi="Arial" w:cs="Arial"/>
              </w:rPr>
              <w:t>the</w:t>
            </w:r>
            <w:r w:rsidRPr="0092484C">
              <w:rPr>
                <w:rFonts w:ascii="Arial" w:hAnsi="Arial" w:cs="Arial"/>
              </w:rPr>
              <w:t xml:space="preserve"> afternoon</w:t>
            </w:r>
            <w:r w:rsidR="00724895">
              <w:rPr>
                <w:rFonts w:ascii="Arial" w:hAnsi="Arial" w:cs="Arial"/>
              </w:rPr>
              <w:t xml:space="preserve"> of September 16</w:t>
            </w:r>
            <w:r w:rsidR="00724895" w:rsidRPr="00724895">
              <w:rPr>
                <w:rFonts w:ascii="Arial" w:hAnsi="Arial" w:cs="Arial"/>
                <w:vertAlign w:val="superscript"/>
              </w:rPr>
              <w:t>th</w:t>
            </w:r>
            <w:r w:rsidR="00724895">
              <w:rPr>
                <w:rFonts w:ascii="Arial" w:hAnsi="Arial" w:cs="Arial"/>
              </w:rPr>
              <w:t>, 2014</w:t>
            </w:r>
          </w:p>
          <w:p w:rsidR="0092484C" w:rsidRPr="0092484C" w:rsidRDefault="0092484C" w:rsidP="0092484C">
            <w:pPr>
              <w:pStyle w:val="ListParagraph"/>
              <w:numPr>
                <w:ilvl w:val="0"/>
                <w:numId w:val="16"/>
              </w:numPr>
              <w:rPr>
                <w:rFonts w:ascii="Arial" w:hAnsi="Arial" w:cs="Arial"/>
              </w:rPr>
            </w:pPr>
            <w:r w:rsidRPr="0092484C">
              <w:rPr>
                <w:rFonts w:ascii="Arial" w:hAnsi="Arial" w:cs="Arial"/>
              </w:rPr>
              <w:t>Rate: $149 per night (single/double occupancy).</w:t>
            </w:r>
          </w:p>
          <w:p w:rsidR="0092484C" w:rsidRDefault="0092484C" w:rsidP="00650C20">
            <w:pPr>
              <w:rPr>
                <w:rFonts w:cs="Arial"/>
                <w:sz w:val="22"/>
                <w:szCs w:val="22"/>
              </w:rPr>
            </w:pPr>
            <w:r>
              <w:rPr>
                <w:rFonts w:cs="Arial"/>
                <w:sz w:val="22"/>
                <w:szCs w:val="22"/>
              </w:rPr>
              <w:t>The</w:t>
            </w:r>
            <w:r w:rsidR="00650C20">
              <w:rPr>
                <w:rFonts w:cs="Arial"/>
                <w:sz w:val="22"/>
                <w:szCs w:val="22"/>
              </w:rPr>
              <w:t xml:space="preserve"> planning </w:t>
            </w:r>
            <w:r>
              <w:rPr>
                <w:rFonts w:cs="Arial"/>
                <w:sz w:val="22"/>
                <w:szCs w:val="22"/>
              </w:rPr>
              <w:t>committee will meet on</w:t>
            </w:r>
            <w:r w:rsidR="00650C20">
              <w:rPr>
                <w:rFonts w:cs="Arial"/>
                <w:sz w:val="22"/>
                <w:szCs w:val="22"/>
              </w:rPr>
              <w:t xml:space="preserve"> May 6</w:t>
            </w:r>
            <w:r w:rsidRPr="0092484C">
              <w:rPr>
                <w:rFonts w:cs="Arial"/>
                <w:sz w:val="22"/>
                <w:szCs w:val="22"/>
                <w:vertAlign w:val="superscript"/>
              </w:rPr>
              <w:t>th</w:t>
            </w:r>
            <w:r>
              <w:rPr>
                <w:rFonts w:cs="Arial"/>
                <w:sz w:val="22"/>
                <w:szCs w:val="22"/>
              </w:rPr>
              <w:t>.</w:t>
            </w:r>
            <w:r w:rsidR="00650C20">
              <w:rPr>
                <w:rFonts w:cs="Arial"/>
                <w:sz w:val="22"/>
                <w:szCs w:val="22"/>
              </w:rPr>
              <w:t xml:space="preserve">  </w:t>
            </w:r>
          </w:p>
          <w:p w:rsidR="006844F7" w:rsidRDefault="006844F7" w:rsidP="00650C20">
            <w:pPr>
              <w:rPr>
                <w:rFonts w:cs="Arial"/>
                <w:b/>
                <w:color w:val="FF0000"/>
                <w:sz w:val="22"/>
                <w:szCs w:val="22"/>
              </w:rPr>
            </w:pPr>
          </w:p>
          <w:p w:rsidR="00F6417F" w:rsidRDefault="0092484C" w:rsidP="00650C20">
            <w:pPr>
              <w:rPr>
                <w:rFonts w:cs="Arial"/>
                <w:sz w:val="22"/>
                <w:szCs w:val="22"/>
              </w:rPr>
            </w:pPr>
            <w:r>
              <w:rPr>
                <w:rFonts w:cs="Arial"/>
                <w:sz w:val="22"/>
                <w:szCs w:val="22"/>
              </w:rPr>
              <w:t>The planning committee is proposing that</w:t>
            </w:r>
            <w:r w:rsidR="00650C20">
              <w:rPr>
                <w:rFonts w:cs="Arial"/>
                <w:sz w:val="22"/>
                <w:szCs w:val="22"/>
              </w:rPr>
              <w:t xml:space="preserve"> each subgroup </w:t>
            </w:r>
            <w:r>
              <w:rPr>
                <w:rFonts w:cs="Arial"/>
                <w:sz w:val="22"/>
                <w:szCs w:val="22"/>
              </w:rPr>
              <w:t>conduct a s</w:t>
            </w:r>
            <w:r w:rsidR="00650C20">
              <w:rPr>
                <w:rFonts w:cs="Arial"/>
                <w:sz w:val="22"/>
                <w:szCs w:val="22"/>
              </w:rPr>
              <w:t>ession</w:t>
            </w:r>
            <w:r w:rsidR="00F6417F">
              <w:rPr>
                <w:rFonts w:cs="Arial"/>
                <w:sz w:val="22"/>
                <w:szCs w:val="22"/>
              </w:rPr>
              <w:t xml:space="preserve">. Examples of topics (Mary-Anne): </w:t>
            </w:r>
            <w:r>
              <w:rPr>
                <w:rFonts w:cs="Arial"/>
                <w:sz w:val="22"/>
                <w:szCs w:val="22"/>
              </w:rPr>
              <w:t xml:space="preserve"> </w:t>
            </w:r>
          </w:p>
          <w:p w:rsidR="00F6417F" w:rsidRPr="00F6417F" w:rsidRDefault="00650C20" w:rsidP="00F6417F">
            <w:pPr>
              <w:pStyle w:val="ListParagraph"/>
              <w:numPr>
                <w:ilvl w:val="0"/>
                <w:numId w:val="21"/>
              </w:numPr>
              <w:rPr>
                <w:rFonts w:ascii="Arial" w:hAnsi="Arial" w:cs="Arial"/>
              </w:rPr>
            </w:pPr>
            <w:r w:rsidRPr="00F6417F">
              <w:rPr>
                <w:rFonts w:ascii="Arial" w:hAnsi="Arial" w:cs="Arial"/>
              </w:rPr>
              <w:t>a new indicator</w:t>
            </w:r>
            <w:r w:rsidR="0092484C" w:rsidRPr="00F6417F">
              <w:rPr>
                <w:rFonts w:ascii="Arial" w:hAnsi="Arial" w:cs="Arial"/>
              </w:rPr>
              <w:t xml:space="preserve"> (r</w:t>
            </w:r>
            <w:r w:rsidRPr="00F6417F">
              <w:rPr>
                <w:rFonts w:ascii="Arial" w:hAnsi="Arial" w:cs="Arial"/>
              </w:rPr>
              <w:t>eproductive health group with discuss maternal weight gain, maternal obesity indicators</w:t>
            </w:r>
            <w:r w:rsidR="0092484C" w:rsidRPr="00F6417F">
              <w:rPr>
                <w:rFonts w:ascii="Arial" w:hAnsi="Arial" w:cs="Arial"/>
              </w:rPr>
              <w:t>)</w:t>
            </w:r>
            <w:r w:rsidRPr="00F6417F">
              <w:rPr>
                <w:rFonts w:ascii="Arial" w:hAnsi="Arial" w:cs="Arial"/>
              </w:rPr>
              <w:t xml:space="preserve">; </w:t>
            </w:r>
          </w:p>
          <w:p w:rsidR="00F6417F" w:rsidRPr="00F6417F" w:rsidRDefault="00650C20" w:rsidP="00F6417F">
            <w:pPr>
              <w:pStyle w:val="ListParagraph"/>
              <w:numPr>
                <w:ilvl w:val="0"/>
                <w:numId w:val="21"/>
              </w:numPr>
              <w:rPr>
                <w:rFonts w:ascii="Arial" w:hAnsi="Arial" w:cs="Arial"/>
              </w:rPr>
            </w:pPr>
            <w:r w:rsidRPr="00F6417F">
              <w:rPr>
                <w:rFonts w:ascii="Arial" w:hAnsi="Arial" w:cs="Arial"/>
              </w:rPr>
              <w:t xml:space="preserve">an issue that would benefit from feedback; </w:t>
            </w:r>
          </w:p>
          <w:p w:rsidR="00650C20" w:rsidRPr="00F6417F" w:rsidRDefault="00650C20" w:rsidP="00F6417F">
            <w:pPr>
              <w:pStyle w:val="ListParagraph"/>
              <w:numPr>
                <w:ilvl w:val="0"/>
                <w:numId w:val="21"/>
              </w:numPr>
              <w:rPr>
                <w:rFonts w:ascii="Arial" w:hAnsi="Arial" w:cs="Arial"/>
              </w:rPr>
            </w:pPr>
            <w:r w:rsidRPr="00F6417F">
              <w:rPr>
                <w:rFonts w:ascii="Arial" w:hAnsi="Arial" w:cs="Arial"/>
              </w:rPr>
              <w:t>overview of a perspective</w:t>
            </w:r>
            <w:r w:rsidR="0092484C" w:rsidRPr="00F6417F">
              <w:rPr>
                <w:rFonts w:ascii="Arial" w:hAnsi="Arial" w:cs="Arial"/>
              </w:rPr>
              <w:t xml:space="preserve"> </w:t>
            </w:r>
            <w:r w:rsidRPr="00F6417F">
              <w:rPr>
                <w:rFonts w:ascii="Arial" w:hAnsi="Arial" w:cs="Arial"/>
              </w:rPr>
              <w:t xml:space="preserve"> </w:t>
            </w:r>
          </w:p>
          <w:p w:rsidR="0092484C" w:rsidRDefault="0092484C" w:rsidP="00650C20">
            <w:pPr>
              <w:rPr>
                <w:rFonts w:cs="Arial"/>
                <w:sz w:val="22"/>
                <w:szCs w:val="22"/>
              </w:rPr>
            </w:pPr>
            <w:r>
              <w:rPr>
                <w:rFonts w:cs="Arial"/>
                <w:sz w:val="22"/>
                <w:szCs w:val="22"/>
              </w:rPr>
              <w:t>Other ideas proposed by the planning committee</w:t>
            </w:r>
            <w:r w:rsidR="00F6417F">
              <w:rPr>
                <w:rFonts w:cs="Arial"/>
                <w:sz w:val="22"/>
                <w:szCs w:val="22"/>
              </w:rPr>
              <w:t xml:space="preserve"> (Brenda)</w:t>
            </w:r>
            <w:r>
              <w:rPr>
                <w:rFonts w:cs="Arial"/>
                <w:sz w:val="22"/>
                <w:szCs w:val="22"/>
              </w:rPr>
              <w:t>:</w:t>
            </w:r>
            <w:r w:rsidR="00650C20">
              <w:rPr>
                <w:rFonts w:cs="Arial"/>
                <w:sz w:val="22"/>
                <w:szCs w:val="22"/>
              </w:rPr>
              <w:t xml:space="preserve"> </w:t>
            </w:r>
          </w:p>
          <w:p w:rsidR="0092484C" w:rsidRPr="0092484C" w:rsidRDefault="00650C20" w:rsidP="0092484C">
            <w:pPr>
              <w:pStyle w:val="ListParagraph"/>
              <w:numPr>
                <w:ilvl w:val="0"/>
                <w:numId w:val="17"/>
              </w:numPr>
              <w:rPr>
                <w:rFonts w:ascii="Arial" w:hAnsi="Arial" w:cs="Arial"/>
              </w:rPr>
            </w:pPr>
            <w:r w:rsidRPr="0092484C">
              <w:rPr>
                <w:rFonts w:ascii="Arial" w:hAnsi="Arial" w:cs="Arial"/>
              </w:rPr>
              <w:t xml:space="preserve">BORN data and geography; </w:t>
            </w:r>
          </w:p>
          <w:p w:rsidR="0092484C" w:rsidRPr="0092484C" w:rsidRDefault="00650C20" w:rsidP="0092484C">
            <w:pPr>
              <w:pStyle w:val="ListParagraph"/>
              <w:numPr>
                <w:ilvl w:val="0"/>
                <w:numId w:val="17"/>
              </w:numPr>
              <w:rPr>
                <w:rFonts w:ascii="Arial" w:hAnsi="Arial" w:cs="Arial"/>
              </w:rPr>
            </w:pPr>
            <w:r w:rsidRPr="0092484C">
              <w:rPr>
                <w:rFonts w:ascii="Arial" w:hAnsi="Arial" w:cs="Arial"/>
              </w:rPr>
              <w:t xml:space="preserve">Injury and extracting data from </w:t>
            </w:r>
            <w:proofErr w:type="spellStart"/>
            <w:r w:rsidRPr="0092484C">
              <w:rPr>
                <w:rFonts w:ascii="Arial" w:hAnsi="Arial" w:cs="Arial"/>
              </w:rPr>
              <w:t>IntelliHEALTH</w:t>
            </w:r>
            <w:proofErr w:type="spellEnd"/>
            <w:r w:rsidRPr="0092484C">
              <w:rPr>
                <w:rFonts w:ascii="Arial" w:hAnsi="Arial" w:cs="Arial"/>
              </w:rPr>
              <w:t xml:space="preserve"> (</w:t>
            </w:r>
            <w:r w:rsidR="0092484C" w:rsidRPr="0092484C">
              <w:rPr>
                <w:rFonts w:ascii="Arial" w:hAnsi="Arial" w:cs="Arial"/>
              </w:rPr>
              <w:t>focusing on NACRS for emergency department and</w:t>
            </w:r>
            <w:r w:rsidRPr="0092484C">
              <w:rPr>
                <w:rFonts w:ascii="Arial" w:hAnsi="Arial" w:cs="Arial"/>
              </w:rPr>
              <w:t xml:space="preserve"> </w:t>
            </w:r>
            <w:r w:rsidR="0092484C" w:rsidRPr="0092484C">
              <w:rPr>
                <w:rFonts w:ascii="Arial" w:hAnsi="Arial" w:cs="Arial"/>
              </w:rPr>
              <w:t>h</w:t>
            </w:r>
            <w:r w:rsidRPr="0092484C">
              <w:rPr>
                <w:rFonts w:ascii="Arial" w:hAnsi="Arial" w:cs="Arial"/>
              </w:rPr>
              <w:t>osp</w:t>
            </w:r>
            <w:r w:rsidR="0092484C" w:rsidRPr="0092484C">
              <w:rPr>
                <w:rFonts w:ascii="Arial" w:hAnsi="Arial" w:cs="Arial"/>
              </w:rPr>
              <w:t>italization indicators</w:t>
            </w:r>
            <w:r w:rsidRPr="0092484C">
              <w:rPr>
                <w:rFonts w:ascii="Arial" w:hAnsi="Arial" w:cs="Arial"/>
              </w:rPr>
              <w:t xml:space="preserve">); </w:t>
            </w:r>
          </w:p>
          <w:p w:rsidR="0092484C" w:rsidRPr="0092484C" w:rsidRDefault="00F6417F" w:rsidP="0092484C">
            <w:pPr>
              <w:pStyle w:val="ListParagraph"/>
              <w:numPr>
                <w:ilvl w:val="0"/>
                <w:numId w:val="17"/>
              </w:numPr>
              <w:rPr>
                <w:rFonts w:ascii="Arial" w:hAnsi="Arial" w:cs="Arial"/>
              </w:rPr>
            </w:pPr>
            <w:r>
              <w:rPr>
                <w:rFonts w:ascii="Arial" w:hAnsi="Arial" w:cs="Arial"/>
              </w:rPr>
              <w:t>C</w:t>
            </w:r>
            <w:r w:rsidR="00650C20" w:rsidRPr="0092484C">
              <w:rPr>
                <w:rFonts w:ascii="Arial" w:hAnsi="Arial" w:cs="Arial"/>
              </w:rPr>
              <w:t>ommunity data program</w:t>
            </w:r>
            <w:r>
              <w:rPr>
                <w:rFonts w:ascii="Arial" w:hAnsi="Arial" w:cs="Arial"/>
              </w:rPr>
              <w:t>.</w:t>
            </w:r>
            <w:r w:rsidR="00650C20" w:rsidRPr="0092484C">
              <w:rPr>
                <w:rFonts w:ascii="Arial" w:hAnsi="Arial" w:cs="Arial"/>
              </w:rPr>
              <w:t xml:space="preserve"> CPHI initiative</w:t>
            </w:r>
            <w:r w:rsidR="0092484C" w:rsidRPr="0092484C">
              <w:rPr>
                <w:rFonts w:ascii="Arial" w:hAnsi="Arial" w:cs="Arial"/>
              </w:rPr>
              <w:t xml:space="preserve">: a </w:t>
            </w:r>
            <w:r w:rsidR="00650C20" w:rsidRPr="0092484C">
              <w:rPr>
                <w:rFonts w:ascii="Arial" w:hAnsi="Arial" w:cs="Arial"/>
              </w:rPr>
              <w:t xml:space="preserve">SDOH project which uses CCHS data for longitudinal analysis; </w:t>
            </w:r>
          </w:p>
          <w:p w:rsidR="0092484C" w:rsidRPr="0092484C" w:rsidRDefault="0092484C" w:rsidP="0092484C">
            <w:pPr>
              <w:pStyle w:val="ListParagraph"/>
              <w:numPr>
                <w:ilvl w:val="0"/>
                <w:numId w:val="17"/>
              </w:numPr>
              <w:rPr>
                <w:rFonts w:ascii="Arial" w:hAnsi="Arial" w:cs="Arial"/>
              </w:rPr>
            </w:pPr>
            <w:r w:rsidRPr="0092484C">
              <w:rPr>
                <w:rFonts w:ascii="Arial" w:hAnsi="Arial" w:cs="Arial"/>
              </w:rPr>
              <w:t>Solicit i</w:t>
            </w:r>
            <w:r w:rsidR="00650C20" w:rsidRPr="0092484C">
              <w:rPr>
                <w:rFonts w:ascii="Arial" w:hAnsi="Arial" w:cs="Arial"/>
              </w:rPr>
              <w:t xml:space="preserve">deas from subgroups that are not </w:t>
            </w:r>
            <w:r w:rsidRPr="0092484C">
              <w:rPr>
                <w:rFonts w:ascii="Arial" w:hAnsi="Arial" w:cs="Arial"/>
              </w:rPr>
              <w:t xml:space="preserve">currently </w:t>
            </w:r>
            <w:r w:rsidR="00650C20" w:rsidRPr="0092484C">
              <w:rPr>
                <w:rFonts w:ascii="Arial" w:hAnsi="Arial" w:cs="Arial"/>
              </w:rPr>
              <w:t xml:space="preserve">active (e.g., infectious disease). </w:t>
            </w:r>
          </w:p>
          <w:p w:rsidR="00650C20" w:rsidRPr="0092484C" w:rsidRDefault="00650C20" w:rsidP="0092484C">
            <w:pPr>
              <w:rPr>
                <w:rFonts w:cs="Arial"/>
                <w:sz w:val="22"/>
                <w:szCs w:val="22"/>
              </w:rPr>
            </w:pPr>
            <w:r w:rsidRPr="0092484C">
              <w:rPr>
                <w:rFonts w:cs="Arial"/>
                <w:sz w:val="22"/>
                <w:szCs w:val="22"/>
              </w:rPr>
              <w:t xml:space="preserve">A call for </w:t>
            </w:r>
            <w:r w:rsidR="0092484C" w:rsidRPr="0092484C">
              <w:rPr>
                <w:rFonts w:cs="Arial"/>
                <w:sz w:val="22"/>
                <w:szCs w:val="22"/>
              </w:rPr>
              <w:t>abstracts will also be sent out.</w:t>
            </w:r>
          </w:p>
          <w:p w:rsidR="009E24D5" w:rsidRDefault="009E24D5" w:rsidP="00F67FC5">
            <w:pPr>
              <w:rPr>
                <w:rFonts w:cs="Arial"/>
                <w:sz w:val="22"/>
                <w:szCs w:val="22"/>
              </w:rPr>
            </w:pPr>
          </w:p>
        </w:tc>
        <w:tc>
          <w:tcPr>
            <w:tcW w:w="2789" w:type="dxa"/>
            <w:tcMar>
              <w:top w:w="29" w:type="dxa"/>
              <w:left w:w="86" w:type="dxa"/>
              <w:bottom w:w="29" w:type="dxa"/>
              <w:right w:w="86" w:type="dxa"/>
            </w:tcMar>
          </w:tcPr>
          <w:p w:rsidR="00991A71" w:rsidRDefault="00650C20" w:rsidP="00650C20">
            <w:pPr>
              <w:keepNext/>
              <w:keepLines/>
              <w:ind w:left="101"/>
              <w:rPr>
                <w:rFonts w:cs="Arial"/>
                <w:sz w:val="22"/>
                <w:szCs w:val="22"/>
              </w:rPr>
            </w:pPr>
            <w:r w:rsidRPr="00650C20">
              <w:rPr>
                <w:rFonts w:cs="Arial"/>
                <w:sz w:val="22"/>
                <w:szCs w:val="22"/>
              </w:rPr>
              <w:t>B</w:t>
            </w:r>
            <w:r w:rsidR="0092484C">
              <w:rPr>
                <w:rFonts w:cs="Arial"/>
                <w:sz w:val="22"/>
                <w:szCs w:val="22"/>
              </w:rPr>
              <w:t>renda</w:t>
            </w:r>
            <w:r w:rsidRPr="00650C20">
              <w:rPr>
                <w:rFonts w:cs="Arial"/>
                <w:sz w:val="22"/>
                <w:szCs w:val="22"/>
              </w:rPr>
              <w:t xml:space="preserve"> will send out notification </w:t>
            </w:r>
            <w:r w:rsidR="00991A71">
              <w:rPr>
                <w:rFonts w:cs="Arial"/>
                <w:sz w:val="22"/>
                <w:szCs w:val="22"/>
              </w:rPr>
              <w:t xml:space="preserve">of the Conference via </w:t>
            </w:r>
            <w:r w:rsidRPr="00650C20">
              <w:rPr>
                <w:rFonts w:cs="Arial"/>
                <w:sz w:val="22"/>
                <w:szCs w:val="22"/>
              </w:rPr>
              <w:t xml:space="preserve">APHEO </w:t>
            </w:r>
            <w:proofErr w:type="spellStart"/>
            <w:r w:rsidRPr="00650C20">
              <w:rPr>
                <w:rFonts w:cs="Arial"/>
                <w:sz w:val="22"/>
                <w:szCs w:val="22"/>
              </w:rPr>
              <w:t>listserve</w:t>
            </w:r>
            <w:proofErr w:type="spellEnd"/>
            <w:r w:rsidRPr="00650C20">
              <w:rPr>
                <w:rFonts w:cs="Arial"/>
                <w:sz w:val="22"/>
                <w:szCs w:val="22"/>
              </w:rPr>
              <w:t xml:space="preserve"> (</w:t>
            </w:r>
            <w:r w:rsidR="0092484C">
              <w:rPr>
                <w:rFonts w:cs="Arial"/>
                <w:sz w:val="22"/>
                <w:szCs w:val="22"/>
              </w:rPr>
              <w:t>once the contract for the venue has been finalized</w:t>
            </w:r>
            <w:r w:rsidR="00991A71">
              <w:rPr>
                <w:rFonts w:cs="Arial"/>
                <w:sz w:val="22"/>
                <w:szCs w:val="22"/>
              </w:rPr>
              <w:t xml:space="preserve"> and </w:t>
            </w:r>
            <w:r w:rsidRPr="00650C20">
              <w:rPr>
                <w:rFonts w:cs="Arial"/>
                <w:sz w:val="22"/>
                <w:szCs w:val="22"/>
              </w:rPr>
              <w:t xml:space="preserve">after </w:t>
            </w:r>
            <w:r w:rsidR="00991A71">
              <w:rPr>
                <w:rFonts w:cs="Arial"/>
                <w:sz w:val="22"/>
                <w:szCs w:val="22"/>
              </w:rPr>
              <w:t xml:space="preserve">the planning committee meeting on </w:t>
            </w:r>
            <w:r w:rsidRPr="00650C20">
              <w:rPr>
                <w:rFonts w:cs="Arial"/>
                <w:sz w:val="22"/>
                <w:szCs w:val="22"/>
              </w:rPr>
              <w:t>May 6</w:t>
            </w:r>
            <w:r w:rsidRPr="00991A71">
              <w:rPr>
                <w:rFonts w:cs="Arial"/>
                <w:sz w:val="22"/>
                <w:szCs w:val="22"/>
                <w:vertAlign w:val="superscript"/>
              </w:rPr>
              <w:t>th</w:t>
            </w:r>
            <w:r w:rsidR="00F6417F">
              <w:rPr>
                <w:rFonts w:cs="Arial"/>
                <w:sz w:val="22"/>
                <w:szCs w:val="22"/>
              </w:rPr>
              <w:t xml:space="preserve">). </w:t>
            </w:r>
            <w:r w:rsidR="00991A71">
              <w:rPr>
                <w:rFonts w:cs="Arial"/>
                <w:sz w:val="22"/>
                <w:szCs w:val="22"/>
              </w:rPr>
              <w:t xml:space="preserve">Details about abstract submission will be included. </w:t>
            </w:r>
          </w:p>
          <w:p w:rsidR="00991A71" w:rsidRDefault="00991A71" w:rsidP="00650C20">
            <w:pPr>
              <w:keepNext/>
              <w:keepLines/>
              <w:ind w:left="101"/>
              <w:rPr>
                <w:rFonts w:cs="Arial"/>
                <w:sz w:val="22"/>
                <w:szCs w:val="22"/>
              </w:rPr>
            </w:pPr>
          </w:p>
          <w:p w:rsidR="00991A71" w:rsidRPr="00650C20" w:rsidRDefault="00650C20" w:rsidP="00991A71">
            <w:pPr>
              <w:keepNext/>
              <w:keepLines/>
              <w:ind w:left="101"/>
              <w:rPr>
                <w:rFonts w:cs="Arial"/>
                <w:sz w:val="22"/>
                <w:szCs w:val="22"/>
              </w:rPr>
            </w:pPr>
            <w:r w:rsidRPr="00650C20">
              <w:rPr>
                <w:rFonts w:cs="Arial"/>
                <w:sz w:val="22"/>
                <w:szCs w:val="22"/>
              </w:rPr>
              <w:t xml:space="preserve">Each lead will discuss </w:t>
            </w:r>
            <w:r w:rsidR="00991A71">
              <w:rPr>
                <w:rFonts w:cs="Arial"/>
                <w:sz w:val="22"/>
                <w:szCs w:val="22"/>
              </w:rPr>
              <w:t>potential topics within their subgroup and submit topic ideas to Brenda by May 30</w:t>
            </w:r>
            <w:r w:rsidR="00991A71" w:rsidRPr="00991A71">
              <w:rPr>
                <w:rFonts w:cs="Arial"/>
                <w:sz w:val="22"/>
                <w:szCs w:val="22"/>
                <w:vertAlign w:val="superscript"/>
              </w:rPr>
              <w:t>th</w:t>
            </w:r>
            <w:r w:rsidR="00991A71">
              <w:rPr>
                <w:rFonts w:cs="Arial"/>
                <w:sz w:val="22"/>
                <w:szCs w:val="22"/>
              </w:rPr>
              <w:t xml:space="preserve">, 2014. </w:t>
            </w:r>
            <w:r w:rsidRPr="00650C20">
              <w:rPr>
                <w:rFonts w:cs="Arial"/>
                <w:sz w:val="22"/>
                <w:szCs w:val="22"/>
              </w:rPr>
              <w:t xml:space="preserve"> </w:t>
            </w:r>
          </w:p>
          <w:p w:rsidR="00991A71" w:rsidRDefault="00991A71" w:rsidP="00650C20">
            <w:pPr>
              <w:keepNext/>
              <w:keepLines/>
              <w:ind w:left="101"/>
              <w:rPr>
                <w:rFonts w:cs="Arial"/>
                <w:sz w:val="22"/>
                <w:szCs w:val="22"/>
              </w:rPr>
            </w:pPr>
          </w:p>
          <w:p w:rsidR="00F67FC5" w:rsidRDefault="00650C20" w:rsidP="00650C20">
            <w:pPr>
              <w:keepNext/>
              <w:keepLines/>
              <w:ind w:left="101"/>
              <w:rPr>
                <w:rFonts w:cs="Arial"/>
                <w:sz w:val="22"/>
                <w:szCs w:val="22"/>
              </w:rPr>
            </w:pPr>
            <w:r w:rsidRPr="00650C20">
              <w:rPr>
                <w:rFonts w:cs="Arial"/>
                <w:sz w:val="22"/>
                <w:szCs w:val="22"/>
              </w:rPr>
              <w:t>Brenda will s</w:t>
            </w:r>
            <w:r w:rsidR="00991A71">
              <w:rPr>
                <w:rFonts w:cs="Arial"/>
                <w:sz w:val="22"/>
                <w:szCs w:val="22"/>
              </w:rPr>
              <w:t xml:space="preserve">hare </w:t>
            </w:r>
            <w:r w:rsidRPr="00650C20">
              <w:rPr>
                <w:rFonts w:cs="Arial"/>
                <w:sz w:val="22"/>
                <w:szCs w:val="22"/>
              </w:rPr>
              <w:t xml:space="preserve">minutes from planning committee </w:t>
            </w:r>
            <w:r w:rsidR="00991A71">
              <w:rPr>
                <w:rFonts w:cs="Arial"/>
                <w:sz w:val="22"/>
                <w:szCs w:val="22"/>
              </w:rPr>
              <w:t>meeting(s) with the</w:t>
            </w:r>
            <w:r w:rsidRPr="00650C20">
              <w:rPr>
                <w:rFonts w:cs="Arial"/>
                <w:sz w:val="22"/>
                <w:szCs w:val="22"/>
              </w:rPr>
              <w:t xml:space="preserve"> CIWG</w:t>
            </w:r>
          </w:p>
          <w:p w:rsidR="009E24D5" w:rsidRDefault="009E24D5" w:rsidP="009E24D5">
            <w:pPr>
              <w:keepNext/>
              <w:keepLines/>
              <w:ind w:left="101"/>
              <w:rPr>
                <w:rFonts w:cs="Arial"/>
                <w:sz w:val="22"/>
                <w:szCs w:val="22"/>
              </w:rPr>
            </w:pPr>
          </w:p>
          <w:p w:rsidR="009E24D5" w:rsidRDefault="009E24D5" w:rsidP="009E24D5">
            <w:pPr>
              <w:keepNext/>
              <w:keepLines/>
              <w:ind w:left="101"/>
              <w:rPr>
                <w:rFonts w:cs="Arial"/>
                <w:sz w:val="22"/>
                <w:szCs w:val="22"/>
              </w:rPr>
            </w:pPr>
          </w:p>
          <w:p w:rsidR="009E24D5" w:rsidRPr="00D77AF2" w:rsidRDefault="009E24D5" w:rsidP="009E24D5">
            <w:pPr>
              <w:keepNext/>
              <w:keepLines/>
              <w:ind w:left="101"/>
              <w:rPr>
                <w:rFonts w:cs="Arial"/>
                <w:sz w:val="22"/>
                <w:szCs w:val="22"/>
              </w:rPr>
            </w:pPr>
          </w:p>
        </w:tc>
      </w:tr>
      <w:tr w:rsidR="0092014C" w:rsidRPr="00D77AF2">
        <w:trPr>
          <w:trHeight w:val="339"/>
        </w:trPr>
        <w:tc>
          <w:tcPr>
            <w:tcW w:w="630" w:type="dxa"/>
            <w:tcMar>
              <w:top w:w="29" w:type="dxa"/>
              <w:left w:w="86" w:type="dxa"/>
              <w:bottom w:w="29" w:type="dxa"/>
              <w:right w:w="86" w:type="dxa"/>
            </w:tcMar>
          </w:tcPr>
          <w:p w:rsidR="0092014C" w:rsidRPr="00D77AF2" w:rsidRDefault="0092014C" w:rsidP="00D52F48">
            <w:pPr>
              <w:keepNext/>
              <w:keepLines/>
              <w:rPr>
                <w:rFonts w:cs="Arial"/>
                <w:b/>
                <w:sz w:val="22"/>
                <w:szCs w:val="22"/>
              </w:rPr>
            </w:pPr>
            <w:r>
              <w:rPr>
                <w:rFonts w:cs="Arial"/>
                <w:b/>
                <w:sz w:val="22"/>
                <w:szCs w:val="22"/>
              </w:rPr>
              <w:t>4.3</w:t>
            </w:r>
          </w:p>
        </w:tc>
        <w:tc>
          <w:tcPr>
            <w:tcW w:w="6297" w:type="dxa"/>
            <w:tcMar>
              <w:top w:w="29" w:type="dxa"/>
              <w:left w:w="86" w:type="dxa"/>
              <w:bottom w:w="29" w:type="dxa"/>
              <w:right w:w="86" w:type="dxa"/>
            </w:tcMar>
          </w:tcPr>
          <w:p w:rsidR="0092014C" w:rsidRDefault="00955666" w:rsidP="00005109">
            <w:pPr>
              <w:rPr>
                <w:rFonts w:cs="Arial"/>
                <w:sz w:val="22"/>
                <w:szCs w:val="22"/>
              </w:rPr>
            </w:pPr>
            <w:r>
              <w:rPr>
                <w:rFonts w:cs="Arial"/>
                <w:sz w:val="22"/>
                <w:szCs w:val="22"/>
              </w:rPr>
              <w:t>Membership list updates:</w:t>
            </w:r>
          </w:p>
          <w:p w:rsidR="00DC799A" w:rsidRDefault="00955666" w:rsidP="00B40080">
            <w:pPr>
              <w:rPr>
                <w:rFonts w:cs="Arial"/>
                <w:sz w:val="22"/>
                <w:szCs w:val="22"/>
              </w:rPr>
            </w:pPr>
            <w:r>
              <w:rPr>
                <w:rFonts w:cs="Arial"/>
                <w:sz w:val="22"/>
                <w:szCs w:val="22"/>
              </w:rPr>
              <w:t xml:space="preserve">Subgroup leads and the Core Indicator subgroup </w:t>
            </w:r>
            <w:r w:rsidR="00B40080">
              <w:rPr>
                <w:rFonts w:cs="Arial"/>
                <w:sz w:val="22"/>
                <w:szCs w:val="22"/>
              </w:rPr>
              <w:t xml:space="preserve">chair are responsible for ensuring membership lists posted on the website are current. </w:t>
            </w:r>
          </w:p>
        </w:tc>
        <w:tc>
          <w:tcPr>
            <w:tcW w:w="2789" w:type="dxa"/>
            <w:tcMar>
              <w:top w:w="29" w:type="dxa"/>
              <w:left w:w="86" w:type="dxa"/>
              <w:bottom w:w="29" w:type="dxa"/>
              <w:right w:w="86" w:type="dxa"/>
            </w:tcMar>
          </w:tcPr>
          <w:p w:rsidR="00DC799A" w:rsidRPr="00D77AF2" w:rsidRDefault="00B40080" w:rsidP="00B40080">
            <w:pPr>
              <w:keepNext/>
              <w:keepLines/>
              <w:ind w:left="101"/>
              <w:rPr>
                <w:rFonts w:cs="Arial"/>
                <w:sz w:val="22"/>
                <w:szCs w:val="22"/>
              </w:rPr>
            </w:pPr>
            <w:r>
              <w:rPr>
                <w:rFonts w:cs="Arial"/>
                <w:sz w:val="22"/>
                <w:szCs w:val="22"/>
              </w:rPr>
              <w:t xml:space="preserve">Subgroup leads </w:t>
            </w:r>
            <w:r w:rsidRPr="00B40080">
              <w:rPr>
                <w:rFonts w:cs="Arial"/>
                <w:sz w:val="22"/>
                <w:szCs w:val="22"/>
              </w:rPr>
              <w:t xml:space="preserve">and the CIWG </w:t>
            </w:r>
            <w:r>
              <w:rPr>
                <w:rFonts w:cs="Arial"/>
                <w:sz w:val="22"/>
                <w:szCs w:val="22"/>
              </w:rPr>
              <w:t>chair will update their membership lists by May 30</w:t>
            </w:r>
            <w:r w:rsidRPr="00B40080">
              <w:rPr>
                <w:rFonts w:cs="Arial"/>
                <w:sz w:val="22"/>
                <w:szCs w:val="22"/>
                <w:vertAlign w:val="superscript"/>
              </w:rPr>
              <w:t>th</w:t>
            </w:r>
            <w:r>
              <w:rPr>
                <w:rFonts w:cs="Arial"/>
                <w:sz w:val="22"/>
                <w:szCs w:val="22"/>
              </w:rPr>
              <w:t>, 2014.</w:t>
            </w:r>
          </w:p>
        </w:tc>
      </w:tr>
      <w:tr w:rsidR="0092014C" w:rsidRPr="00D77AF2">
        <w:trPr>
          <w:trHeight w:val="339"/>
        </w:trPr>
        <w:tc>
          <w:tcPr>
            <w:tcW w:w="630" w:type="dxa"/>
            <w:tcMar>
              <w:top w:w="29" w:type="dxa"/>
              <w:left w:w="86" w:type="dxa"/>
              <w:bottom w:w="29" w:type="dxa"/>
              <w:right w:w="86" w:type="dxa"/>
            </w:tcMar>
          </w:tcPr>
          <w:p w:rsidR="0092014C" w:rsidRPr="00D77AF2" w:rsidRDefault="0092014C" w:rsidP="00D52F48">
            <w:pPr>
              <w:keepNext/>
              <w:keepLines/>
              <w:rPr>
                <w:rFonts w:cs="Arial"/>
                <w:b/>
                <w:sz w:val="22"/>
                <w:szCs w:val="22"/>
              </w:rPr>
            </w:pPr>
          </w:p>
        </w:tc>
        <w:tc>
          <w:tcPr>
            <w:tcW w:w="6297" w:type="dxa"/>
            <w:tcMar>
              <w:top w:w="29" w:type="dxa"/>
              <w:left w:w="86" w:type="dxa"/>
              <w:bottom w:w="29" w:type="dxa"/>
              <w:right w:w="86" w:type="dxa"/>
            </w:tcMar>
          </w:tcPr>
          <w:p w:rsidR="0092014C" w:rsidRPr="00791236" w:rsidRDefault="00791236" w:rsidP="00005109">
            <w:pPr>
              <w:rPr>
                <w:rFonts w:cs="Arial"/>
                <w:b/>
                <w:sz w:val="22"/>
                <w:szCs w:val="22"/>
              </w:rPr>
            </w:pPr>
            <w:r w:rsidRPr="00791236">
              <w:rPr>
                <w:rFonts w:cs="Arial"/>
                <w:b/>
                <w:sz w:val="22"/>
                <w:szCs w:val="22"/>
              </w:rPr>
              <w:t xml:space="preserve">Additions to the </w:t>
            </w:r>
            <w:r>
              <w:rPr>
                <w:rFonts w:cs="Arial"/>
                <w:b/>
                <w:sz w:val="22"/>
                <w:szCs w:val="22"/>
              </w:rPr>
              <w:t>A</w:t>
            </w:r>
            <w:r w:rsidRPr="00791236">
              <w:rPr>
                <w:rFonts w:cs="Arial"/>
                <w:b/>
                <w:sz w:val="22"/>
                <w:szCs w:val="22"/>
              </w:rPr>
              <w:t xml:space="preserve">genda: </w:t>
            </w:r>
          </w:p>
        </w:tc>
        <w:tc>
          <w:tcPr>
            <w:tcW w:w="2789" w:type="dxa"/>
            <w:tcMar>
              <w:top w:w="29" w:type="dxa"/>
              <w:left w:w="86" w:type="dxa"/>
              <w:bottom w:w="29" w:type="dxa"/>
              <w:right w:w="86" w:type="dxa"/>
            </w:tcMar>
          </w:tcPr>
          <w:p w:rsidR="0092014C" w:rsidRPr="00D77AF2" w:rsidRDefault="0092014C" w:rsidP="00D52F48">
            <w:pPr>
              <w:keepNext/>
              <w:keepLines/>
              <w:ind w:left="101"/>
              <w:rPr>
                <w:rFonts w:cs="Arial"/>
                <w:sz w:val="22"/>
                <w:szCs w:val="22"/>
              </w:rPr>
            </w:pPr>
          </w:p>
        </w:tc>
      </w:tr>
      <w:tr w:rsidR="00256E55" w:rsidRPr="00D77AF2">
        <w:trPr>
          <w:trHeight w:val="339"/>
        </w:trPr>
        <w:tc>
          <w:tcPr>
            <w:tcW w:w="630" w:type="dxa"/>
            <w:tcMar>
              <w:top w:w="29" w:type="dxa"/>
              <w:left w:w="86" w:type="dxa"/>
              <w:bottom w:w="29" w:type="dxa"/>
              <w:right w:w="86" w:type="dxa"/>
            </w:tcMar>
          </w:tcPr>
          <w:p w:rsidR="00256E55" w:rsidRDefault="00256E55" w:rsidP="00D52F48">
            <w:pPr>
              <w:keepNext/>
              <w:keepLines/>
              <w:rPr>
                <w:rFonts w:cs="Arial"/>
                <w:b/>
                <w:sz w:val="22"/>
                <w:szCs w:val="22"/>
              </w:rPr>
            </w:pPr>
            <w:r>
              <w:rPr>
                <w:rFonts w:cs="Arial"/>
                <w:b/>
                <w:sz w:val="22"/>
                <w:szCs w:val="22"/>
              </w:rPr>
              <w:lastRenderedPageBreak/>
              <w:t>4.4</w:t>
            </w:r>
          </w:p>
        </w:tc>
        <w:tc>
          <w:tcPr>
            <w:tcW w:w="6297" w:type="dxa"/>
            <w:tcMar>
              <w:top w:w="29" w:type="dxa"/>
              <w:left w:w="86" w:type="dxa"/>
              <w:bottom w:w="29" w:type="dxa"/>
              <w:right w:w="86" w:type="dxa"/>
            </w:tcMar>
          </w:tcPr>
          <w:p w:rsidR="00256E55" w:rsidRDefault="00256E55" w:rsidP="00005109">
            <w:pPr>
              <w:rPr>
                <w:rFonts w:cs="Arial"/>
                <w:sz w:val="22"/>
                <w:szCs w:val="22"/>
              </w:rPr>
            </w:pPr>
            <w:r w:rsidRPr="00256E55">
              <w:rPr>
                <w:rFonts w:cs="Arial"/>
                <w:sz w:val="22"/>
                <w:szCs w:val="22"/>
              </w:rPr>
              <w:t>Cancer Indicators</w:t>
            </w:r>
            <w:r>
              <w:rPr>
                <w:rFonts w:cs="Arial"/>
                <w:sz w:val="22"/>
                <w:szCs w:val="22"/>
              </w:rPr>
              <w:t>:</w:t>
            </w:r>
          </w:p>
          <w:p w:rsidR="00256E55" w:rsidRPr="00256E55" w:rsidRDefault="00256E55" w:rsidP="00F6417F">
            <w:pPr>
              <w:rPr>
                <w:rFonts w:cs="Arial"/>
                <w:sz w:val="22"/>
                <w:szCs w:val="22"/>
              </w:rPr>
            </w:pPr>
            <w:r>
              <w:rPr>
                <w:rFonts w:cs="Arial"/>
                <w:sz w:val="22"/>
                <w:szCs w:val="22"/>
              </w:rPr>
              <w:t xml:space="preserve">Ruth Sanderson identified some areas in which APHEO cancer indicator definitions did not align with </w:t>
            </w:r>
            <w:proofErr w:type="spellStart"/>
            <w:r>
              <w:rPr>
                <w:rFonts w:cs="Arial"/>
                <w:sz w:val="22"/>
                <w:szCs w:val="22"/>
              </w:rPr>
              <w:t>Seerstat</w:t>
            </w:r>
            <w:proofErr w:type="spellEnd"/>
            <w:r>
              <w:rPr>
                <w:rFonts w:cs="Arial"/>
                <w:sz w:val="22"/>
                <w:szCs w:val="22"/>
              </w:rPr>
              <w:t xml:space="preserve">. </w:t>
            </w:r>
            <w:r w:rsidR="00F6417F">
              <w:rPr>
                <w:rFonts w:cs="Arial"/>
                <w:sz w:val="22"/>
                <w:szCs w:val="22"/>
              </w:rPr>
              <w:t>Ruth</w:t>
            </w:r>
            <w:r>
              <w:rPr>
                <w:rFonts w:cs="Arial"/>
                <w:sz w:val="22"/>
                <w:szCs w:val="22"/>
              </w:rPr>
              <w:t xml:space="preserve"> suggested that these </w:t>
            </w:r>
            <w:r w:rsidR="00F6417F">
              <w:rPr>
                <w:rFonts w:cs="Arial"/>
                <w:sz w:val="22"/>
                <w:szCs w:val="22"/>
              </w:rPr>
              <w:t>issues</w:t>
            </w:r>
            <w:r>
              <w:rPr>
                <w:rFonts w:cs="Arial"/>
                <w:sz w:val="22"/>
                <w:szCs w:val="22"/>
              </w:rPr>
              <w:t xml:space="preserve"> be added to the APHEO “</w:t>
            </w:r>
            <w:hyperlink r:id="rId8" w:history="1">
              <w:r w:rsidRPr="00256E55">
                <w:rPr>
                  <w:rStyle w:val="Hyperlink"/>
                  <w:rFonts w:cs="Arial"/>
                  <w:sz w:val="22"/>
                  <w:szCs w:val="22"/>
                </w:rPr>
                <w:t>Identified Indicator/Resources Issues</w:t>
              </w:r>
            </w:hyperlink>
            <w:r>
              <w:rPr>
                <w:rFonts w:cs="Arial"/>
                <w:sz w:val="22"/>
                <w:szCs w:val="22"/>
              </w:rPr>
              <w:t xml:space="preserve">” table, to be addressed at a later date. (Note: an issue related to cancer indicators was added to the table in February 2012).   </w:t>
            </w:r>
          </w:p>
        </w:tc>
        <w:tc>
          <w:tcPr>
            <w:tcW w:w="2789" w:type="dxa"/>
            <w:tcMar>
              <w:top w:w="29" w:type="dxa"/>
              <w:left w:w="86" w:type="dxa"/>
              <w:bottom w:w="29" w:type="dxa"/>
              <w:right w:w="86" w:type="dxa"/>
            </w:tcMar>
          </w:tcPr>
          <w:p w:rsidR="00256E55" w:rsidRPr="00D77AF2" w:rsidRDefault="00256E55" w:rsidP="00D52F48">
            <w:pPr>
              <w:keepNext/>
              <w:keepLines/>
              <w:ind w:left="101"/>
              <w:rPr>
                <w:rFonts w:cs="Arial"/>
                <w:sz w:val="22"/>
                <w:szCs w:val="22"/>
              </w:rPr>
            </w:pPr>
            <w:r>
              <w:rPr>
                <w:rFonts w:cs="Arial"/>
                <w:sz w:val="22"/>
                <w:szCs w:val="22"/>
              </w:rPr>
              <w:t>Natalie will follow-up with Ruth re: the specific issues to be added to the known issues table and report back to the group.</w:t>
            </w:r>
          </w:p>
        </w:tc>
      </w:tr>
      <w:tr w:rsidR="00256E55" w:rsidRPr="00D77AF2">
        <w:trPr>
          <w:trHeight w:val="339"/>
        </w:trPr>
        <w:tc>
          <w:tcPr>
            <w:tcW w:w="630" w:type="dxa"/>
            <w:tcMar>
              <w:top w:w="29" w:type="dxa"/>
              <w:left w:w="86" w:type="dxa"/>
              <w:bottom w:w="29" w:type="dxa"/>
              <w:right w:w="86" w:type="dxa"/>
            </w:tcMar>
          </w:tcPr>
          <w:p w:rsidR="00256E55" w:rsidRDefault="00256E55" w:rsidP="00D52F48">
            <w:pPr>
              <w:keepNext/>
              <w:keepLines/>
              <w:rPr>
                <w:rFonts w:cs="Arial"/>
                <w:b/>
                <w:sz w:val="22"/>
                <w:szCs w:val="22"/>
              </w:rPr>
            </w:pPr>
            <w:r>
              <w:rPr>
                <w:rFonts w:cs="Arial"/>
                <w:b/>
                <w:sz w:val="22"/>
                <w:szCs w:val="22"/>
              </w:rPr>
              <w:t>4.5</w:t>
            </w:r>
          </w:p>
        </w:tc>
        <w:tc>
          <w:tcPr>
            <w:tcW w:w="6297" w:type="dxa"/>
            <w:tcMar>
              <w:top w:w="29" w:type="dxa"/>
              <w:left w:w="86" w:type="dxa"/>
              <w:bottom w:w="29" w:type="dxa"/>
              <w:right w:w="86" w:type="dxa"/>
            </w:tcMar>
          </w:tcPr>
          <w:p w:rsidR="00256E55" w:rsidRDefault="00DC5478" w:rsidP="00005109">
            <w:pPr>
              <w:rPr>
                <w:rFonts w:cs="Arial"/>
                <w:sz w:val="22"/>
                <w:szCs w:val="22"/>
              </w:rPr>
            </w:pPr>
            <w:r w:rsidRPr="00DC5478">
              <w:rPr>
                <w:rFonts w:cs="Arial"/>
                <w:sz w:val="22"/>
                <w:szCs w:val="22"/>
              </w:rPr>
              <w:t>Review of indicators</w:t>
            </w:r>
          </w:p>
          <w:p w:rsidR="00DC5478" w:rsidRPr="00DC5478" w:rsidRDefault="00965156" w:rsidP="00965156">
            <w:pPr>
              <w:rPr>
                <w:rFonts w:cs="Arial"/>
                <w:sz w:val="22"/>
                <w:szCs w:val="22"/>
              </w:rPr>
            </w:pPr>
            <w:r>
              <w:rPr>
                <w:rFonts w:cs="Arial"/>
                <w:sz w:val="22"/>
                <w:szCs w:val="22"/>
              </w:rPr>
              <w:t>The SDOH subgroup</w:t>
            </w:r>
            <w:r w:rsidRPr="00DC5478">
              <w:rPr>
                <w:rFonts w:cs="Arial"/>
                <w:sz w:val="22"/>
                <w:szCs w:val="22"/>
              </w:rPr>
              <w:t xml:space="preserve"> </w:t>
            </w:r>
            <w:r w:rsidR="00DC5478">
              <w:rPr>
                <w:rFonts w:cs="Arial"/>
                <w:sz w:val="22"/>
                <w:szCs w:val="22"/>
              </w:rPr>
              <w:t xml:space="preserve">noted that it is difficult to ensure formatting </w:t>
            </w:r>
            <w:r w:rsidR="00DC5478" w:rsidRPr="00DC5478">
              <w:rPr>
                <w:rFonts w:cs="Arial"/>
                <w:sz w:val="22"/>
                <w:szCs w:val="22"/>
              </w:rPr>
              <w:t xml:space="preserve">consistency </w:t>
            </w:r>
            <w:r w:rsidR="00DC5478">
              <w:rPr>
                <w:rFonts w:cs="Arial"/>
                <w:sz w:val="22"/>
                <w:szCs w:val="22"/>
              </w:rPr>
              <w:t xml:space="preserve">among </w:t>
            </w:r>
            <w:r w:rsidR="00DC5478" w:rsidRPr="00DC5478">
              <w:rPr>
                <w:rFonts w:cs="Arial"/>
                <w:sz w:val="22"/>
                <w:szCs w:val="22"/>
              </w:rPr>
              <w:t>indicators</w:t>
            </w:r>
            <w:r w:rsidR="00DC5478">
              <w:rPr>
                <w:rFonts w:cs="Arial"/>
                <w:sz w:val="22"/>
                <w:szCs w:val="22"/>
              </w:rPr>
              <w:t xml:space="preserve"> and suggested it would be helpful to have one person</w:t>
            </w:r>
            <w:r>
              <w:rPr>
                <w:rFonts w:cs="Arial"/>
                <w:sz w:val="22"/>
                <w:szCs w:val="22"/>
              </w:rPr>
              <w:t>, perhaps a contracted student,</w:t>
            </w:r>
            <w:r w:rsidR="00DC5478">
              <w:rPr>
                <w:rFonts w:cs="Arial"/>
                <w:sz w:val="22"/>
                <w:szCs w:val="22"/>
              </w:rPr>
              <w:t xml:space="preserve"> methodically r</w:t>
            </w:r>
            <w:r w:rsidR="00DC5478" w:rsidRPr="00DC5478">
              <w:rPr>
                <w:rFonts w:cs="Arial"/>
                <w:sz w:val="22"/>
                <w:szCs w:val="22"/>
              </w:rPr>
              <w:t>eview all indicators</w:t>
            </w:r>
            <w:r w:rsidR="00DC5478">
              <w:rPr>
                <w:rFonts w:cs="Arial"/>
                <w:sz w:val="22"/>
                <w:szCs w:val="22"/>
              </w:rPr>
              <w:t>.</w:t>
            </w:r>
            <w:r w:rsidR="00DC5478" w:rsidRPr="00DC5478">
              <w:rPr>
                <w:rFonts w:cs="Arial"/>
                <w:sz w:val="22"/>
                <w:szCs w:val="22"/>
              </w:rPr>
              <w:t xml:space="preserve"> </w:t>
            </w:r>
            <w:r w:rsidR="00DC5478">
              <w:rPr>
                <w:rFonts w:cs="Arial"/>
                <w:sz w:val="22"/>
                <w:szCs w:val="22"/>
              </w:rPr>
              <w:t xml:space="preserve">The group agreed that this would be helpful and suggested </w:t>
            </w:r>
            <w:proofErr w:type="spellStart"/>
            <w:r w:rsidR="00DC5478">
              <w:rPr>
                <w:rFonts w:cs="Arial"/>
                <w:sz w:val="22"/>
                <w:szCs w:val="22"/>
              </w:rPr>
              <w:t>suggested</w:t>
            </w:r>
            <w:proofErr w:type="spellEnd"/>
            <w:r w:rsidR="00DC5478">
              <w:rPr>
                <w:rFonts w:cs="Arial"/>
                <w:sz w:val="22"/>
                <w:szCs w:val="22"/>
              </w:rPr>
              <w:t xml:space="preserve"> approaching</w:t>
            </w:r>
            <w:r w:rsidR="00DC5478" w:rsidRPr="00DC5478">
              <w:rPr>
                <w:rFonts w:cs="Arial"/>
                <w:sz w:val="22"/>
                <w:szCs w:val="22"/>
              </w:rPr>
              <w:t xml:space="preserve"> PHO </w:t>
            </w:r>
            <w:r w:rsidR="00DC5478">
              <w:rPr>
                <w:rFonts w:cs="Arial"/>
                <w:sz w:val="22"/>
                <w:szCs w:val="22"/>
              </w:rPr>
              <w:t xml:space="preserve">for funding. </w:t>
            </w:r>
          </w:p>
        </w:tc>
        <w:tc>
          <w:tcPr>
            <w:tcW w:w="2789" w:type="dxa"/>
            <w:tcMar>
              <w:top w:w="29" w:type="dxa"/>
              <w:left w:w="86" w:type="dxa"/>
              <w:bottom w:w="29" w:type="dxa"/>
              <w:right w:w="86" w:type="dxa"/>
            </w:tcMar>
          </w:tcPr>
          <w:p w:rsidR="00DC5478" w:rsidRDefault="00DC5478" w:rsidP="00DC5478">
            <w:pPr>
              <w:keepNext/>
              <w:keepLines/>
              <w:ind w:left="101"/>
              <w:rPr>
                <w:rFonts w:cs="Arial"/>
                <w:sz w:val="22"/>
                <w:szCs w:val="22"/>
              </w:rPr>
            </w:pPr>
            <w:r>
              <w:rPr>
                <w:rFonts w:cs="Arial"/>
                <w:sz w:val="22"/>
                <w:szCs w:val="22"/>
              </w:rPr>
              <w:t>Leads</w:t>
            </w:r>
            <w:r w:rsidRPr="00DC5478">
              <w:rPr>
                <w:rFonts w:cs="Arial"/>
                <w:sz w:val="22"/>
                <w:szCs w:val="22"/>
              </w:rPr>
              <w:t xml:space="preserve"> will discuss </w:t>
            </w:r>
            <w:r>
              <w:rPr>
                <w:rFonts w:cs="Arial"/>
                <w:sz w:val="22"/>
                <w:szCs w:val="22"/>
              </w:rPr>
              <w:t>needs within their subgroups and submit ideas to Suzanne.</w:t>
            </w:r>
          </w:p>
          <w:p w:rsidR="00DC5478" w:rsidRPr="00DC5478" w:rsidRDefault="00DC5478" w:rsidP="00DC5478">
            <w:pPr>
              <w:keepNext/>
              <w:keepLines/>
              <w:ind w:left="101"/>
              <w:rPr>
                <w:rFonts w:cs="Arial"/>
                <w:sz w:val="22"/>
                <w:szCs w:val="22"/>
              </w:rPr>
            </w:pPr>
          </w:p>
          <w:p w:rsidR="00256E55" w:rsidRPr="00D77AF2" w:rsidRDefault="00DC5478" w:rsidP="00DC5478">
            <w:pPr>
              <w:keepNext/>
              <w:keepLines/>
              <w:ind w:left="101"/>
              <w:rPr>
                <w:rFonts w:cs="Arial"/>
                <w:sz w:val="22"/>
                <w:szCs w:val="22"/>
              </w:rPr>
            </w:pPr>
            <w:r>
              <w:rPr>
                <w:rFonts w:cs="Arial"/>
                <w:sz w:val="22"/>
                <w:szCs w:val="22"/>
              </w:rPr>
              <w:t>The g</w:t>
            </w:r>
            <w:r w:rsidRPr="00DC5478">
              <w:rPr>
                <w:rFonts w:cs="Arial"/>
                <w:sz w:val="22"/>
                <w:szCs w:val="22"/>
              </w:rPr>
              <w:t xml:space="preserve">roup will </w:t>
            </w:r>
            <w:r>
              <w:rPr>
                <w:rFonts w:cs="Arial"/>
                <w:sz w:val="22"/>
                <w:szCs w:val="22"/>
              </w:rPr>
              <w:t xml:space="preserve">draft a </w:t>
            </w:r>
            <w:r w:rsidRPr="00DC5478">
              <w:rPr>
                <w:rFonts w:cs="Arial"/>
                <w:sz w:val="22"/>
                <w:szCs w:val="22"/>
              </w:rPr>
              <w:t xml:space="preserve">proposal to </w:t>
            </w:r>
            <w:r>
              <w:rPr>
                <w:rFonts w:cs="Arial"/>
                <w:sz w:val="22"/>
                <w:szCs w:val="22"/>
              </w:rPr>
              <w:t xml:space="preserve">be submitted to </w:t>
            </w:r>
            <w:r w:rsidRPr="00DC5478">
              <w:rPr>
                <w:rFonts w:cs="Arial"/>
                <w:sz w:val="22"/>
                <w:szCs w:val="22"/>
              </w:rPr>
              <w:t>PHO</w:t>
            </w:r>
            <w:r>
              <w:rPr>
                <w:rFonts w:cs="Arial"/>
                <w:sz w:val="22"/>
                <w:szCs w:val="22"/>
              </w:rPr>
              <w:t xml:space="preserve"> (Ruth)</w:t>
            </w:r>
            <w:r w:rsidRPr="00DC5478">
              <w:rPr>
                <w:rFonts w:cs="Arial"/>
                <w:sz w:val="22"/>
                <w:szCs w:val="22"/>
              </w:rPr>
              <w:t xml:space="preserve"> for consideration</w:t>
            </w:r>
          </w:p>
        </w:tc>
      </w:tr>
      <w:tr w:rsidR="00256E55" w:rsidRPr="00D77AF2">
        <w:trPr>
          <w:trHeight w:val="339"/>
        </w:trPr>
        <w:tc>
          <w:tcPr>
            <w:tcW w:w="630" w:type="dxa"/>
            <w:tcMar>
              <w:top w:w="29" w:type="dxa"/>
              <w:left w:w="86" w:type="dxa"/>
              <w:bottom w:w="29" w:type="dxa"/>
              <w:right w:w="86" w:type="dxa"/>
            </w:tcMar>
          </w:tcPr>
          <w:p w:rsidR="00256E55" w:rsidRDefault="00256E55" w:rsidP="00D52F48">
            <w:pPr>
              <w:keepNext/>
              <w:keepLines/>
              <w:rPr>
                <w:rFonts w:cs="Arial"/>
                <w:b/>
                <w:sz w:val="22"/>
                <w:szCs w:val="22"/>
              </w:rPr>
            </w:pPr>
            <w:r>
              <w:rPr>
                <w:rFonts w:cs="Arial"/>
                <w:b/>
                <w:sz w:val="22"/>
                <w:szCs w:val="22"/>
              </w:rPr>
              <w:t>4.6</w:t>
            </w:r>
          </w:p>
        </w:tc>
        <w:tc>
          <w:tcPr>
            <w:tcW w:w="6297" w:type="dxa"/>
            <w:tcMar>
              <w:top w:w="29" w:type="dxa"/>
              <w:left w:w="86" w:type="dxa"/>
              <w:bottom w:w="29" w:type="dxa"/>
              <w:right w:w="86" w:type="dxa"/>
            </w:tcMar>
          </w:tcPr>
          <w:p w:rsidR="00256E55" w:rsidRDefault="00067B64" w:rsidP="00005109">
            <w:pPr>
              <w:rPr>
                <w:rFonts w:cs="Arial"/>
                <w:sz w:val="22"/>
                <w:szCs w:val="22"/>
              </w:rPr>
            </w:pPr>
            <w:r w:rsidRPr="00067B64">
              <w:rPr>
                <w:rFonts w:cs="Arial"/>
                <w:sz w:val="22"/>
                <w:szCs w:val="22"/>
              </w:rPr>
              <w:t>Adding SDOH indicators</w:t>
            </w:r>
          </w:p>
          <w:p w:rsidR="00067B64" w:rsidRPr="00067B64" w:rsidRDefault="00067B64" w:rsidP="00067B64">
            <w:pPr>
              <w:rPr>
                <w:rFonts w:cs="Arial"/>
                <w:sz w:val="22"/>
                <w:szCs w:val="22"/>
              </w:rPr>
            </w:pPr>
            <w:r w:rsidRPr="00067B64">
              <w:rPr>
                <w:rFonts w:cs="Arial"/>
                <w:sz w:val="22"/>
                <w:szCs w:val="22"/>
              </w:rPr>
              <w:t>Cam</w:t>
            </w:r>
            <w:r w:rsidR="00BA19DB">
              <w:rPr>
                <w:rFonts w:cs="Arial"/>
                <w:sz w:val="22"/>
                <w:szCs w:val="22"/>
              </w:rPr>
              <w:t xml:space="preserve"> </w:t>
            </w:r>
            <w:r w:rsidRPr="00067B64">
              <w:rPr>
                <w:rFonts w:cs="Arial"/>
                <w:sz w:val="22"/>
                <w:szCs w:val="22"/>
              </w:rPr>
              <w:t xml:space="preserve">identified </w:t>
            </w:r>
            <w:r w:rsidR="00965156">
              <w:rPr>
                <w:rFonts w:cs="Arial"/>
                <w:sz w:val="22"/>
                <w:szCs w:val="22"/>
              </w:rPr>
              <w:t xml:space="preserve">and the SDOH subgroup reviewed </w:t>
            </w:r>
            <w:r w:rsidRPr="00067B64">
              <w:rPr>
                <w:rFonts w:cs="Arial"/>
                <w:sz w:val="22"/>
                <w:szCs w:val="22"/>
              </w:rPr>
              <w:t>gaps</w:t>
            </w:r>
            <w:r w:rsidR="00BA19DB">
              <w:rPr>
                <w:rFonts w:cs="Arial"/>
                <w:sz w:val="22"/>
                <w:szCs w:val="22"/>
              </w:rPr>
              <w:t xml:space="preserve"> in the APHEO</w:t>
            </w:r>
            <w:r w:rsidRPr="00067B64">
              <w:rPr>
                <w:rFonts w:cs="Arial"/>
                <w:sz w:val="22"/>
                <w:szCs w:val="22"/>
              </w:rPr>
              <w:t xml:space="preserve"> </w:t>
            </w:r>
            <w:r w:rsidR="00BA19DB">
              <w:rPr>
                <w:rFonts w:cs="Arial"/>
                <w:sz w:val="22"/>
                <w:szCs w:val="22"/>
              </w:rPr>
              <w:t xml:space="preserve">SDOH Core Indicators compared to those covered in </w:t>
            </w:r>
            <w:hyperlink r:id="rId9" w:history="1">
              <w:r w:rsidR="00BA19DB" w:rsidRPr="00BA19DB">
                <w:rPr>
                  <w:rStyle w:val="Hyperlink"/>
                  <w:rFonts w:cs="Arial"/>
                  <w:sz w:val="22"/>
                  <w:szCs w:val="22"/>
                </w:rPr>
                <w:t>Social Determinants of Health: The Canadian Facts</w:t>
              </w:r>
            </w:hyperlink>
            <w:r w:rsidR="00BA19DB">
              <w:rPr>
                <w:rFonts w:cs="Arial"/>
                <w:sz w:val="22"/>
                <w:szCs w:val="22"/>
              </w:rPr>
              <w:t xml:space="preserve">. The SDOH subgroup is considering developing: </w:t>
            </w:r>
          </w:p>
          <w:p w:rsidR="00067B64" w:rsidRPr="00067B64" w:rsidRDefault="00BA19DB" w:rsidP="00067B64">
            <w:pPr>
              <w:numPr>
                <w:ilvl w:val="0"/>
                <w:numId w:val="18"/>
              </w:numPr>
              <w:rPr>
                <w:rFonts w:cs="Arial"/>
                <w:sz w:val="22"/>
                <w:szCs w:val="22"/>
              </w:rPr>
            </w:pPr>
            <w:r>
              <w:rPr>
                <w:rFonts w:cs="Arial"/>
                <w:sz w:val="22"/>
                <w:szCs w:val="22"/>
              </w:rPr>
              <w:t>Social exclusion/inclusion (</w:t>
            </w:r>
            <w:r w:rsidR="00067B64" w:rsidRPr="00067B64">
              <w:rPr>
                <w:rFonts w:cs="Arial"/>
                <w:sz w:val="22"/>
                <w:szCs w:val="22"/>
              </w:rPr>
              <w:t>sense of belonging</w:t>
            </w:r>
            <w:r>
              <w:rPr>
                <w:rFonts w:cs="Arial"/>
                <w:sz w:val="22"/>
                <w:szCs w:val="22"/>
              </w:rPr>
              <w:t xml:space="preserve"> data are</w:t>
            </w:r>
            <w:r w:rsidR="00067B64" w:rsidRPr="00067B64">
              <w:rPr>
                <w:rFonts w:cs="Arial"/>
                <w:sz w:val="22"/>
                <w:szCs w:val="22"/>
              </w:rPr>
              <w:t xml:space="preserve"> available from CCHS</w:t>
            </w:r>
            <w:r>
              <w:rPr>
                <w:rFonts w:cs="Arial"/>
                <w:sz w:val="22"/>
                <w:szCs w:val="22"/>
              </w:rPr>
              <w:t>)</w:t>
            </w:r>
          </w:p>
          <w:p w:rsidR="00067B64" w:rsidRPr="00067B64" w:rsidRDefault="00067B64" w:rsidP="00067B64">
            <w:pPr>
              <w:numPr>
                <w:ilvl w:val="0"/>
                <w:numId w:val="18"/>
              </w:numPr>
              <w:rPr>
                <w:rFonts w:cs="Arial"/>
                <w:sz w:val="22"/>
                <w:szCs w:val="22"/>
              </w:rPr>
            </w:pPr>
            <w:r w:rsidRPr="00067B64">
              <w:rPr>
                <w:rFonts w:cs="Arial"/>
                <w:sz w:val="22"/>
                <w:szCs w:val="22"/>
              </w:rPr>
              <w:t>Use of health services (data</w:t>
            </w:r>
            <w:r w:rsidR="00BA19DB">
              <w:rPr>
                <w:rFonts w:cs="Arial"/>
                <w:sz w:val="22"/>
                <w:szCs w:val="22"/>
              </w:rPr>
              <w:t xml:space="preserve"> are</w:t>
            </w:r>
            <w:r w:rsidRPr="00067B64">
              <w:rPr>
                <w:rFonts w:cs="Arial"/>
                <w:sz w:val="22"/>
                <w:szCs w:val="22"/>
              </w:rPr>
              <w:t xml:space="preserve"> available in CCHS)</w:t>
            </w:r>
          </w:p>
          <w:p w:rsidR="00067B64" w:rsidRPr="00067B64" w:rsidRDefault="00BA19DB" w:rsidP="00BA19DB">
            <w:pPr>
              <w:rPr>
                <w:rFonts w:cs="Arial"/>
                <w:sz w:val="22"/>
                <w:szCs w:val="22"/>
              </w:rPr>
            </w:pPr>
            <w:r>
              <w:rPr>
                <w:rFonts w:cs="Arial"/>
                <w:sz w:val="22"/>
                <w:szCs w:val="22"/>
              </w:rPr>
              <w:t xml:space="preserve">The group agreed that it would be worthwhile to develop these indicators. </w:t>
            </w:r>
            <w:r w:rsidR="00067B64" w:rsidRPr="00067B64">
              <w:rPr>
                <w:rFonts w:cs="Arial"/>
                <w:sz w:val="22"/>
                <w:szCs w:val="22"/>
              </w:rPr>
              <w:t xml:space="preserve">Mary-Anne </w:t>
            </w:r>
            <w:r>
              <w:rPr>
                <w:rFonts w:cs="Arial"/>
                <w:sz w:val="22"/>
                <w:szCs w:val="22"/>
              </w:rPr>
              <w:t>suggested that</w:t>
            </w:r>
            <w:r w:rsidR="00067B64" w:rsidRPr="00067B64">
              <w:rPr>
                <w:rFonts w:cs="Arial"/>
                <w:sz w:val="22"/>
                <w:szCs w:val="22"/>
              </w:rPr>
              <w:t xml:space="preserve"> voter participation </w:t>
            </w:r>
            <w:r>
              <w:rPr>
                <w:rFonts w:cs="Arial"/>
                <w:sz w:val="22"/>
                <w:szCs w:val="22"/>
              </w:rPr>
              <w:t>could also be considered.</w:t>
            </w:r>
            <w:r w:rsidR="00067B64" w:rsidRPr="00067B64">
              <w:rPr>
                <w:rFonts w:cs="Arial"/>
                <w:sz w:val="22"/>
                <w:szCs w:val="22"/>
              </w:rPr>
              <w:t xml:space="preserve"> Brenda </w:t>
            </w:r>
            <w:r>
              <w:rPr>
                <w:rFonts w:cs="Arial"/>
                <w:sz w:val="22"/>
                <w:szCs w:val="22"/>
              </w:rPr>
              <w:t xml:space="preserve">suggested that summary measures included in the PHO report </w:t>
            </w:r>
            <w:hyperlink r:id="rId10" w:history="1">
              <w:r w:rsidRPr="00BA19DB">
                <w:rPr>
                  <w:rStyle w:val="Hyperlink"/>
                  <w:rFonts w:cs="Arial"/>
                  <w:sz w:val="22"/>
                  <w:szCs w:val="22"/>
                </w:rPr>
                <w:t>Summary Measur</w:t>
              </w:r>
              <w:r w:rsidRPr="00BA19DB">
                <w:rPr>
                  <w:rStyle w:val="Hyperlink"/>
                  <w:rFonts w:cs="Arial"/>
                  <w:sz w:val="22"/>
                  <w:szCs w:val="22"/>
                </w:rPr>
                <w:t>e</w:t>
              </w:r>
              <w:r w:rsidRPr="00BA19DB">
                <w:rPr>
                  <w:rStyle w:val="Hyperlink"/>
                  <w:rFonts w:cs="Arial"/>
                  <w:sz w:val="22"/>
                  <w:szCs w:val="22"/>
                </w:rPr>
                <w:t>s of Socioeconomic Inequalities in Health</w:t>
              </w:r>
            </w:hyperlink>
            <w:r>
              <w:rPr>
                <w:rFonts w:cs="Arial"/>
                <w:sz w:val="22"/>
                <w:szCs w:val="22"/>
              </w:rPr>
              <w:t xml:space="preserve"> </w:t>
            </w:r>
            <w:r w:rsidR="00067B64" w:rsidRPr="00067B64">
              <w:rPr>
                <w:rFonts w:cs="Arial"/>
                <w:sz w:val="22"/>
                <w:szCs w:val="22"/>
              </w:rPr>
              <w:t xml:space="preserve"> </w:t>
            </w:r>
            <w:r>
              <w:rPr>
                <w:rFonts w:cs="Arial"/>
                <w:sz w:val="22"/>
                <w:szCs w:val="22"/>
              </w:rPr>
              <w:t xml:space="preserve">also be reviewed as a potential source of indicators. </w:t>
            </w:r>
          </w:p>
        </w:tc>
        <w:tc>
          <w:tcPr>
            <w:tcW w:w="2789" w:type="dxa"/>
            <w:tcMar>
              <w:top w:w="29" w:type="dxa"/>
              <w:left w:w="86" w:type="dxa"/>
              <w:bottom w:w="29" w:type="dxa"/>
              <w:right w:w="86" w:type="dxa"/>
            </w:tcMar>
          </w:tcPr>
          <w:p w:rsidR="004918F5" w:rsidRDefault="00067B64" w:rsidP="00067B64">
            <w:pPr>
              <w:keepNext/>
              <w:keepLines/>
              <w:ind w:left="101"/>
              <w:rPr>
                <w:rFonts w:cs="Arial"/>
                <w:sz w:val="22"/>
                <w:szCs w:val="22"/>
              </w:rPr>
            </w:pPr>
            <w:r>
              <w:rPr>
                <w:rFonts w:cs="Arial"/>
                <w:sz w:val="22"/>
                <w:szCs w:val="22"/>
              </w:rPr>
              <w:t>Virgin</w:t>
            </w:r>
            <w:r w:rsidR="00BA19DB">
              <w:rPr>
                <w:rFonts w:cs="Arial"/>
                <w:sz w:val="22"/>
                <w:szCs w:val="22"/>
              </w:rPr>
              <w:t>i</w:t>
            </w:r>
            <w:r>
              <w:rPr>
                <w:rFonts w:cs="Arial"/>
                <w:sz w:val="22"/>
                <w:szCs w:val="22"/>
              </w:rPr>
              <w:t xml:space="preserve">a will discuss the idea of creating a “voter participation” indicator </w:t>
            </w:r>
            <w:r w:rsidR="004918F5">
              <w:rPr>
                <w:rFonts w:cs="Arial"/>
                <w:sz w:val="22"/>
                <w:szCs w:val="22"/>
              </w:rPr>
              <w:t xml:space="preserve">and the development of summary measure indicators </w:t>
            </w:r>
            <w:r>
              <w:rPr>
                <w:rFonts w:cs="Arial"/>
                <w:sz w:val="22"/>
                <w:szCs w:val="22"/>
              </w:rPr>
              <w:t>with the SDOH subgroup.</w:t>
            </w:r>
          </w:p>
          <w:p w:rsidR="004918F5" w:rsidRDefault="004918F5" w:rsidP="00067B64">
            <w:pPr>
              <w:keepNext/>
              <w:keepLines/>
              <w:ind w:left="101"/>
              <w:rPr>
                <w:rFonts w:cs="Arial"/>
                <w:sz w:val="22"/>
                <w:szCs w:val="22"/>
              </w:rPr>
            </w:pPr>
          </w:p>
          <w:p w:rsidR="00256E55" w:rsidRPr="00D77AF2" w:rsidRDefault="00067B64" w:rsidP="00067B64">
            <w:pPr>
              <w:keepNext/>
              <w:keepLines/>
              <w:ind w:left="101"/>
              <w:rPr>
                <w:rFonts w:cs="Arial"/>
                <w:sz w:val="22"/>
                <w:szCs w:val="22"/>
              </w:rPr>
            </w:pPr>
            <w:r>
              <w:rPr>
                <w:rFonts w:cs="Arial"/>
                <w:sz w:val="22"/>
                <w:szCs w:val="22"/>
              </w:rPr>
              <w:t xml:space="preserve"> </w:t>
            </w:r>
          </w:p>
        </w:tc>
      </w:tr>
      <w:tr w:rsidR="00256E55" w:rsidRPr="00D77AF2">
        <w:trPr>
          <w:trHeight w:val="339"/>
        </w:trPr>
        <w:tc>
          <w:tcPr>
            <w:tcW w:w="630" w:type="dxa"/>
            <w:tcMar>
              <w:top w:w="29" w:type="dxa"/>
              <w:left w:w="86" w:type="dxa"/>
              <w:bottom w:w="29" w:type="dxa"/>
              <w:right w:w="86" w:type="dxa"/>
            </w:tcMar>
          </w:tcPr>
          <w:p w:rsidR="00256E55" w:rsidRDefault="00256E55" w:rsidP="00D52F48">
            <w:pPr>
              <w:keepNext/>
              <w:keepLines/>
              <w:rPr>
                <w:rFonts w:cs="Arial"/>
                <w:b/>
                <w:sz w:val="22"/>
                <w:szCs w:val="22"/>
              </w:rPr>
            </w:pPr>
            <w:r>
              <w:rPr>
                <w:rFonts w:cs="Arial"/>
                <w:b/>
                <w:sz w:val="22"/>
                <w:szCs w:val="22"/>
              </w:rPr>
              <w:t>4.7</w:t>
            </w:r>
          </w:p>
        </w:tc>
        <w:tc>
          <w:tcPr>
            <w:tcW w:w="6297" w:type="dxa"/>
            <w:tcMar>
              <w:top w:w="29" w:type="dxa"/>
              <w:left w:w="86" w:type="dxa"/>
              <w:bottom w:w="29" w:type="dxa"/>
              <w:right w:w="86" w:type="dxa"/>
            </w:tcMar>
          </w:tcPr>
          <w:p w:rsidR="00256E55" w:rsidRDefault="00B8395C" w:rsidP="00005109">
            <w:pPr>
              <w:rPr>
                <w:rFonts w:cs="Arial"/>
                <w:sz w:val="22"/>
                <w:szCs w:val="22"/>
              </w:rPr>
            </w:pPr>
            <w:r w:rsidRPr="00B8395C">
              <w:rPr>
                <w:rFonts w:cs="Arial"/>
                <w:sz w:val="22"/>
                <w:szCs w:val="22"/>
              </w:rPr>
              <w:t>Child Youth subgroup</w:t>
            </w:r>
          </w:p>
          <w:p w:rsidR="00B8395C" w:rsidRPr="00B8395C" w:rsidRDefault="00B8395C" w:rsidP="00F6417F">
            <w:pPr>
              <w:rPr>
                <w:rFonts w:cs="Arial"/>
                <w:sz w:val="22"/>
                <w:szCs w:val="22"/>
              </w:rPr>
            </w:pPr>
            <w:r w:rsidRPr="00B8395C">
              <w:rPr>
                <w:rFonts w:cs="Arial"/>
                <w:sz w:val="22"/>
                <w:szCs w:val="22"/>
              </w:rPr>
              <w:t>Brenda has not been able to secure a chair for this subgroup. Becky Blair (</w:t>
            </w:r>
            <w:r>
              <w:rPr>
                <w:rFonts w:cs="Arial"/>
                <w:sz w:val="22"/>
                <w:szCs w:val="22"/>
              </w:rPr>
              <w:t xml:space="preserve">from Simcoe </w:t>
            </w:r>
            <w:proofErr w:type="spellStart"/>
            <w:r>
              <w:rPr>
                <w:rFonts w:cs="Arial"/>
                <w:sz w:val="22"/>
                <w:szCs w:val="22"/>
              </w:rPr>
              <w:t>Muskoka</w:t>
            </w:r>
            <w:proofErr w:type="spellEnd"/>
            <w:r>
              <w:rPr>
                <w:rFonts w:cs="Arial"/>
                <w:sz w:val="22"/>
                <w:szCs w:val="22"/>
              </w:rPr>
              <w:t xml:space="preserve"> District Health Unit and a member of the Reproductive Health Work Group</w:t>
            </w:r>
            <w:r w:rsidRPr="00B8395C">
              <w:rPr>
                <w:rFonts w:cs="Arial"/>
                <w:sz w:val="22"/>
                <w:szCs w:val="22"/>
              </w:rPr>
              <w:t xml:space="preserve">) may </w:t>
            </w:r>
            <w:r>
              <w:rPr>
                <w:rFonts w:cs="Arial"/>
                <w:sz w:val="22"/>
                <w:szCs w:val="22"/>
              </w:rPr>
              <w:t xml:space="preserve">be interested in </w:t>
            </w:r>
            <w:r w:rsidRPr="00B8395C">
              <w:rPr>
                <w:rFonts w:cs="Arial"/>
                <w:sz w:val="22"/>
                <w:szCs w:val="22"/>
              </w:rPr>
              <w:t>co-chair</w:t>
            </w:r>
            <w:r>
              <w:rPr>
                <w:rFonts w:cs="Arial"/>
                <w:sz w:val="22"/>
                <w:szCs w:val="22"/>
              </w:rPr>
              <w:t>ing</w:t>
            </w:r>
            <w:r w:rsidRPr="00B8395C">
              <w:rPr>
                <w:rFonts w:cs="Arial"/>
                <w:sz w:val="22"/>
                <w:szCs w:val="22"/>
              </w:rPr>
              <w:t xml:space="preserve">. </w:t>
            </w:r>
            <w:r>
              <w:rPr>
                <w:rFonts w:cs="Arial"/>
                <w:sz w:val="22"/>
                <w:szCs w:val="22"/>
              </w:rPr>
              <w:t>Brenda suggested including this in</w:t>
            </w:r>
            <w:r w:rsidRPr="00B8395C">
              <w:rPr>
                <w:rFonts w:cs="Arial"/>
                <w:sz w:val="22"/>
                <w:szCs w:val="22"/>
              </w:rPr>
              <w:t xml:space="preserve"> the proposal for PHO Core Indicators</w:t>
            </w:r>
            <w:r>
              <w:rPr>
                <w:rFonts w:cs="Arial"/>
                <w:sz w:val="22"/>
                <w:szCs w:val="22"/>
              </w:rPr>
              <w:t xml:space="preserve"> support</w:t>
            </w:r>
            <w:r w:rsidRPr="00B8395C">
              <w:rPr>
                <w:rFonts w:cs="Arial"/>
                <w:sz w:val="22"/>
                <w:szCs w:val="22"/>
              </w:rPr>
              <w:t>.</w:t>
            </w:r>
          </w:p>
        </w:tc>
        <w:tc>
          <w:tcPr>
            <w:tcW w:w="2789" w:type="dxa"/>
            <w:tcMar>
              <w:top w:w="29" w:type="dxa"/>
              <w:left w:w="86" w:type="dxa"/>
              <w:bottom w:w="29" w:type="dxa"/>
              <w:right w:w="86" w:type="dxa"/>
            </w:tcMar>
          </w:tcPr>
          <w:p w:rsidR="00256E55" w:rsidRPr="00D77AF2" w:rsidRDefault="00B8395C" w:rsidP="00D52F48">
            <w:pPr>
              <w:keepNext/>
              <w:keepLines/>
              <w:ind w:left="101"/>
              <w:rPr>
                <w:rFonts w:cs="Arial"/>
                <w:sz w:val="22"/>
                <w:szCs w:val="22"/>
              </w:rPr>
            </w:pPr>
            <w:r w:rsidRPr="00B8395C">
              <w:rPr>
                <w:rFonts w:cs="Arial"/>
                <w:sz w:val="22"/>
                <w:szCs w:val="22"/>
              </w:rPr>
              <w:t xml:space="preserve">Brenda will discuss </w:t>
            </w:r>
            <w:r>
              <w:rPr>
                <w:rFonts w:cs="Arial"/>
                <w:sz w:val="22"/>
                <w:szCs w:val="22"/>
              </w:rPr>
              <w:t xml:space="preserve">this issue </w:t>
            </w:r>
            <w:r w:rsidRPr="00B8395C">
              <w:rPr>
                <w:rFonts w:cs="Arial"/>
                <w:sz w:val="22"/>
                <w:szCs w:val="22"/>
              </w:rPr>
              <w:t>with Suzanne</w:t>
            </w:r>
          </w:p>
        </w:tc>
      </w:tr>
      <w:tr w:rsidR="00E566B4" w:rsidRPr="00D77AF2">
        <w:trPr>
          <w:trHeight w:val="339"/>
        </w:trPr>
        <w:tc>
          <w:tcPr>
            <w:tcW w:w="630" w:type="dxa"/>
            <w:tcMar>
              <w:top w:w="29" w:type="dxa"/>
              <w:left w:w="86" w:type="dxa"/>
              <w:bottom w:w="29" w:type="dxa"/>
              <w:right w:w="86" w:type="dxa"/>
            </w:tcMar>
          </w:tcPr>
          <w:p w:rsidR="00E566B4" w:rsidRDefault="00E566B4" w:rsidP="00D52F48">
            <w:pPr>
              <w:keepNext/>
              <w:keepLines/>
              <w:rPr>
                <w:rFonts w:cs="Arial"/>
                <w:b/>
                <w:sz w:val="22"/>
                <w:szCs w:val="22"/>
              </w:rPr>
            </w:pPr>
            <w:r>
              <w:rPr>
                <w:rFonts w:cs="Arial"/>
                <w:b/>
                <w:sz w:val="22"/>
                <w:szCs w:val="22"/>
              </w:rPr>
              <w:t>4.8</w:t>
            </w:r>
          </w:p>
        </w:tc>
        <w:tc>
          <w:tcPr>
            <w:tcW w:w="6297" w:type="dxa"/>
            <w:tcMar>
              <w:top w:w="29" w:type="dxa"/>
              <w:left w:w="86" w:type="dxa"/>
              <w:bottom w:w="29" w:type="dxa"/>
              <w:right w:w="86" w:type="dxa"/>
            </w:tcMar>
          </w:tcPr>
          <w:p w:rsidR="00E566B4" w:rsidRDefault="00E566B4" w:rsidP="00005109">
            <w:pPr>
              <w:rPr>
                <w:rFonts w:cs="Arial"/>
                <w:sz w:val="22"/>
                <w:szCs w:val="22"/>
              </w:rPr>
            </w:pPr>
            <w:r w:rsidRPr="00E566B4">
              <w:rPr>
                <w:rFonts w:cs="Arial"/>
                <w:sz w:val="22"/>
                <w:szCs w:val="22"/>
              </w:rPr>
              <w:t>Determining areas for Core Indicator review</w:t>
            </w:r>
          </w:p>
          <w:p w:rsidR="00E566B4" w:rsidRPr="00E566B4" w:rsidRDefault="00E566B4" w:rsidP="00965156">
            <w:pPr>
              <w:rPr>
                <w:rFonts w:cs="Arial"/>
                <w:sz w:val="22"/>
                <w:szCs w:val="22"/>
              </w:rPr>
            </w:pPr>
            <w:r>
              <w:rPr>
                <w:rFonts w:cs="Arial"/>
                <w:sz w:val="22"/>
                <w:szCs w:val="22"/>
              </w:rPr>
              <w:t>Virginia inquired about the criteria for prioritizing areas for indicator updates</w:t>
            </w:r>
            <w:r w:rsidR="00965156">
              <w:rPr>
                <w:rFonts w:cs="Arial"/>
                <w:sz w:val="22"/>
                <w:szCs w:val="22"/>
              </w:rPr>
              <w:t>, as the SDOH subgroup is recommending that the Mental Health indicators be reviewed</w:t>
            </w:r>
            <w:r>
              <w:rPr>
                <w:rFonts w:cs="Arial"/>
                <w:sz w:val="22"/>
                <w:szCs w:val="22"/>
              </w:rPr>
              <w:t>. Order of review is b</w:t>
            </w:r>
            <w:r w:rsidRPr="00E566B4">
              <w:rPr>
                <w:rFonts w:cs="Arial"/>
                <w:sz w:val="22"/>
                <w:szCs w:val="22"/>
              </w:rPr>
              <w:t xml:space="preserve">ased on </w:t>
            </w:r>
            <w:r>
              <w:rPr>
                <w:rFonts w:cs="Arial"/>
                <w:sz w:val="22"/>
                <w:szCs w:val="22"/>
              </w:rPr>
              <w:t xml:space="preserve">decisions made during </w:t>
            </w:r>
            <w:r w:rsidRPr="00E566B4">
              <w:rPr>
                <w:rFonts w:cs="Arial"/>
                <w:sz w:val="22"/>
                <w:szCs w:val="22"/>
              </w:rPr>
              <w:t xml:space="preserve">operational planning. </w:t>
            </w:r>
            <w:r>
              <w:rPr>
                <w:rFonts w:cs="Arial"/>
                <w:sz w:val="22"/>
                <w:szCs w:val="22"/>
              </w:rPr>
              <w:t>(</w:t>
            </w:r>
            <w:r w:rsidRPr="00E566B4">
              <w:rPr>
                <w:rFonts w:cs="Arial"/>
                <w:sz w:val="22"/>
                <w:szCs w:val="22"/>
              </w:rPr>
              <w:t xml:space="preserve">Child Health </w:t>
            </w:r>
            <w:r>
              <w:rPr>
                <w:rFonts w:cs="Arial"/>
                <w:sz w:val="22"/>
                <w:szCs w:val="22"/>
              </w:rPr>
              <w:t>was</w:t>
            </w:r>
            <w:r w:rsidRPr="00E566B4">
              <w:rPr>
                <w:rFonts w:cs="Arial"/>
                <w:sz w:val="22"/>
                <w:szCs w:val="22"/>
              </w:rPr>
              <w:t xml:space="preserve"> identified as a </w:t>
            </w:r>
            <w:r>
              <w:rPr>
                <w:rFonts w:cs="Arial"/>
                <w:sz w:val="22"/>
                <w:szCs w:val="22"/>
              </w:rPr>
              <w:t xml:space="preserve">priority in </w:t>
            </w:r>
            <w:r w:rsidR="00F6417F">
              <w:rPr>
                <w:rFonts w:cs="Arial"/>
                <w:sz w:val="22"/>
                <w:szCs w:val="22"/>
              </w:rPr>
              <w:t>a previous</w:t>
            </w:r>
            <w:r>
              <w:rPr>
                <w:rFonts w:cs="Arial"/>
                <w:sz w:val="22"/>
                <w:szCs w:val="22"/>
              </w:rPr>
              <w:t xml:space="preserve"> operational plan).</w:t>
            </w:r>
            <w:r w:rsidR="007908C5">
              <w:rPr>
                <w:rFonts w:cs="Arial"/>
                <w:sz w:val="22"/>
                <w:szCs w:val="22"/>
              </w:rPr>
              <w:t xml:space="preserve"> The group agreed that </w:t>
            </w:r>
            <w:r w:rsidR="00F6417F">
              <w:rPr>
                <w:rFonts w:cs="Arial"/>
                <w:sz w:val="22"/>
                <w:szCs w:val="22"/>
              </w:rPr>
              <w:t xml:space="preserve">it </w:t>
            </w:r>
            <w:r w:rsidR="007908C5">
              <w:rPr>
                <w:rFonts w:cs="Arial"/>
                <w:sz w:val="22"/>
                <w:szCs w:val="22"/>
              </w:rPr>
              <w:t>would be useful to revisit the strategic planning and operational planning processes to note our accomplishments, issues that are outstanding and determine the direction for Core Indicators. Perhaps include</w:t>
            </w:r>
            <w:r w:rsidR="007908C5" w:rsidRPr="007908C5">
              <w:rPr>
                <w:rFonts w:cs="Arial"/>
                <w:sz w:val="22"/>
                <w:szCs w:val="22"/>
              </w:rPr>
              <w:t xml:space="preserve"> this in the proposal for PHO Core Indicators support</w:t>
            </w:r>
            <w:r w:rsidR="007908C5">
              <w:rPr>
                <w:rFonts w:cs="Arial"/>
                <w:sz w:val="22"/>
                <w:szCs w:val="22"/>
              </w:rPr>
              <w:t>.</w:t>
            </w:r>
          </w:p>
        </w:tc>
        <w:tc>
          <w:tcPr>
            <w:tcW w:w="2789" w:type="dxa"/>
            <w:tcMar>
              <w:top w:w="29" w:type="dxa"/>
              <w:left w:w="86" w:type="dxa"/>
              <w:bottom w:w="29" w:type="dxa"/>
              <w:right w:w="86" w:type="dxa"/>
            </w:tcMar>
          </w:tcPr>
          <w:p w:rsidR="00E566B4" w:rsidRDefault="007908C5" w:rsidP="007908C5">
            <w:pPr>
              <w:rPr>
                <w:rFonts w:cs="Arial"/>
                <w:sz w:val="22"/>
                <w:szCs w:val="22"/>
              </w:rPr>
            </w:pPr>
            <w:r>
              <w:rPr>
                <w:rFonts w:cs="Arial"/>
                <w:sz w:val="22"/>
                <w:szCs w:val="22"/>
              </w:rPr>
              <w:t>R</w:t>
            </w:r>
            <w:r w:rsidRPr="007908C5">
              <w:rPr>
                <w:rFonts w:cs="Arial"/>
                <w:sz w:val="22"/>
                <w:szCs w:val="22"/>
              </w:rPr>
              <w:t>evi</w:t>
            </w:r>
            <w:r>
              <w:rPr>
                <w:rFonts w:cs="Arial"/>
                <w:sz w:val="22"/>
                <w:szCs w:val="22"/>
              </w:rPr>
              <w:t xml:space="preserve">ew the most recent strategic plan (2008) at the next CIWG meeting (Brenda will circulate the strategic plan to the group). </w:t>
            </w:r>
          </w:p>
        </w:tc>
      </w:tr>
      <w:tr w:rsidR="00E566B4" w:rsidRPr="00D77AF2">
        <w:trPr>
          <w:trHeight w:val="339"/>
        </w:trPr>
        <w:tc>
          <w:tcPr>
            <w:tcW w:w="630" w:type="dxa"/>
            <w:tcMar>
              <w:top w:w="29" w:type="dxa"/>
              <w:left w:w="86" w:type="dxa"/>
              <w:bottom w:w="29" w:type="dxa"/>
              <w:right w:w="86" w:type="dxa"/>
            </w:tcMar>
          </w:tcPr>
          <w:p w:rsidR="00E566B4" w:rsidRDefault="007908C5" w:rsidP="00D52F48">
            <w:pPr>
              <w:keepNext/>
              <w:keepLines/>
              <w:rPr>
                <w:rFonts w:cs="Arial"/>
                <w:b/>
                <w:sz w:val="22"/>
                <w:szCs w:val="22"/>
              </w:rPr>
            </w:pPr>
            <w:r>
              <w:rPr>
                <w:rFonts w:cs="Arial"/>
                <w:b/>
                <w:sz w:val="22"/>
                <w:szCs w:val="22"/>
              </w:rPr>
              <w:t>5.0</w:t>
            </w:r>
          </w:p>
        </w:tc>
        <w:tc>
          <w:tcPr>
            <w:tcW w:w="6297" w:type="dxa"/>
            <w:tcMar>
              <w:top w:w="29" w:type="dxa"/>
              <w:left w:w="86" w:type="dxa"/>
              <w:bottom w:w="29" w:type="dxa"/>
              <w:right w:w="86" w:type="dxa"/>
            </w:tcMar>
          </w:tcPr>
          <w:p w:rsidR="00E566B4" w:rsidRPr="00791236" w:rsidRDefault="007908C5" w:rsidP="00005109">
            <w:pPr>
              <w:rPr>
                <w:rFonts w:cs="Arial"/>
                <w:b/>
                <w:sz w:val="22"/>
                <w:szCs w:val="22"/>
              </w:rPr>
            </w:pPr>
            <w:r>
              <w:rPr>
                <w:rFonts w:cs="Arial"/>
                <w:b/>
                <w:sz w:val="22"/>
                <w:szCs w:val="22"/>
              </w:rPr>
              <w:t>Subgroup Reports</w:t>
            </w:r>
          </w:p>
        </w:tc>
        <w:tc>
          <w:tcPr>
            <w:tcW w:w="2789" w:type="dxa"/>
            <w:tcMar>
              <w:top w:w="29" w:type="dxa"/>
              <w:left w:w="86" w:type="dxa"/>
              <w:bottom w:w="29" w:type="dxa"/>
              <w:right w:w="86" w:type="dxa"/>
            </w:tcMar>
          </w:tcPr>
          <w:p w:rsidR="00E566B4" w:rsidRPr="00D77AF2" w:rsidRDefault="00E566B4" w:rsidP="00D52F48">
            <w:pPr>
              <w:keepNext/>
              <w:keepLines/>
              <w:ind w:left="101"/>
              <w:rPr>
                <w:rFonts w:cs="Arial"/>
                <w:sz w:val="22"/>
                <w:szCs w:val="22"/>
              </w:rPr>
            </w:pPr>
          </w:p>
        </w:tc>
      </w:tr>
      <w:tr w:rsidR="00E566B4" w:rsidRPr="00D77AF2">
        <w:trPr>
          <w:trHeight w:val="339"/>
        </w:trPr>
        <w:tc>
          <w:tcPr>
            <w:tcW w:w="630" w:type="dxa"/>
            <w:tcMar>
              <w:top w:w="29" w:type="dxa"/>
              <w:left w:w="86" w:type="dxa"/>
              <w:bottom w:w="29" w:type="dxa"/>
              <w:right w:w="86" w:type="dxa"/>
            </w:tcMar>
          </w:tcPr>
          <w:p w:rsidR="00E566B4" w:rsidRPr="00621712" w:rsidRDefault="00E566B4" w:rsidP="00D52F48">
            <w:pPr>
              <w:keepNext/>
              <w:keepLines/>
              <w:jc w:val="right"/>
              <w:rPr>
                <w:rFonts w:cs="Arial"/>
                <w:sz w:val="22"/>
                <w:szCs w:val="22"/>
              </w:rPr>
            </w:pPr>
            <w:r w:rsidRPr="00621712">
              <w:rPr>
                <w:rFonts w:cs="Arial"/>
                <w:sz w:val="22"/>
                <w:szCs w:val="22"/>
              </w:rPr>
              <w:t>5.1</w:t>
            </w:r>
          </w:p>
        </w:tc>
        <w:tc>
          <w:tcPr>
            <w:tcW w:w="6297" w:type="dxa"/>
            <w:tcMar>
              <w:top w:w="29" w:type="dxa"/>
              <w:left w:w="86" w:type="dxa"/>
              <w:bottom w:w="29" w:type="dxa"/>
              <w:right w:w="86" w:type="dxa"/>
            </w:tcMar>
          </w:tcPr>
          <w:p w:rsidR="00E566B4" w:rsidRPr="00570620" w:rsidRDefault="00E566B4" w:rsidP="00D52F48">
            <w:pPr>
              <w:keepNext/>
              <w:keepLines/>
              <w:rPr>
                <w:rFonts w:cs="Arial"/>
                <w:b/>
                <w:sz w:val="22"/>
                <w:szCs w:val="22"/>
              </w:rPr>
            </w:pPr>
            <w:r w:rsidRPr="00570620">
              <w:rPr>
                <w:rFonts w:cs="Arial"/>
                <w:b/>
                <w:sz w:val="22"/>
                <w:szCs w:val="22"/>
              </w:rPr>
              <w:t>Reproductive Health</w:t>
            </w:r>
          </w:p>
          <w:p w:rsidR="00E566B4" w:rsidRPr="000A1B47" w:rsidRDefault="00E15B5E" w:rsidP="00F6417F">
            <w:pPr>
              <w:keepNext/>
              <w:keepLines/>
              <w:rPr>
                <w:rFonts w:cs="Arial"/>
                <w:sz w:val="22"/>
                <w:szCs w:val="22"/>
              </w:rPr>
            </w:pPr>
            <w:r>
              <w:rPr>
                <w:rFonts w:cs="Arial"/>
                <w:sz w:val="22"/>
                <w:szCs w:val="22"/>
              </w:rPr>
              <w:lastRenderedPageBreak/>
              <w:t>Mary-Anne</w:t>
            </w:r>
            <w:r w:rsidR="00086481">
              <w:rPr>
                <w:rFonts w:cs="Arial"/>
                <w:sz w:val="22"/>
                <w:szCs w:val="22"/>
              </w:rPr>
              <w:t xml:space="preserve"> reported</w:t>
            </w:r>
            <w:r>
              <w:rPr>
                <w:rFonts w:cs="Arial"/>
                <w:sz w:val="22"/>
                <w:szCs w:val="22"/>
              </w:rPr>
              <w:t>: The group continues</w:t>
            </w:r>
            <w:r w:rsidRPr="00E15B5E">
              <w:rPr>
                <w:rFonts w:cs="Arial"/>
                <w:sz w:val="22"/>
                <w:szCs w:val="22"/>
              </w:rPr>
              <w:t xml:space="preserve"> to work on five new indicators</w:t>
            </w:r>
            <w:r>
              <w:rPr>
                <w:rFonts w:cs="Arial"/>
                <w:sz w:val="22"/>
                <w:szCs w:val="22"/>
              </w:rPr>
              <w:t xml:space="preserve"> based on BORN data</w:t>
            </w:r>
            <w:r w:rsidRPr="00E15B5E">
              <w:rPr>
                <w:rFonts w:cs="Arial"/>
                <w:sz w:val="22"/>
                <w:szCs w:val="22"/>
              </w:rPr>
              <w:t xml:space="preserve"> (maternal weight gain</w:t>
            </w:r>
            <w:r w:rsidR="00F6417F">
              <w:rPr>
                <w:rFonts w:cs="Arial"/>
                <w:sz w:val="22"/>
                <w:szCs w:val="22"/>
              </w:rPr>
              <w:t>;</w:t>
            </w:r>
            <w:r w:rsidRPr="00E15B5E">
              <w:rPr>
                <w:rFonts w:cs="Arial"/>
                <w:sz w:val="22"/>
                <w:szCs w:val="22"/>
              </w:rPr>
              <w:t xml:space="preserve"> maternal obesity</w:t>
            </w:r>
            <w:r w:rsidR="00F6417F">
              <w:rPr>
                <w:rFonts w:cs="Arial"/>
                <w:sz w:val="22"/>
                <w:szCs w:val="22"/>
              </w:rPr>
              <w:t>;</w:t>
            </w:r>
            <w:r w:rsidRPr="00E15B5E">
              <w:rPr>
                <w:rFonts w:cs="Arial"/>
                <w:sz w:val="22"/>
                <w:szCs w:val="22"/>
              </w:rPr>
              <w:t xml:space="preserve"> maternal smoking</w:t>
            </w:r>
            <w:r w:rsidR="00F6417F">
              <w:rPr>
                <w:rFonts w:cs="Arial"/>
                <w:sz w:val="22"/>
                <w:szCs w:val="22"/>
              </w:rPr>
              <w:t>;</w:t>
            </w:r>
            <w:r w:rsidRPr="00E15B5E">
              <w:rPr>
                <w:rFonts w:cs="Arial"/>
                <w:sz w:val="22"/>
                <w:szCs w:val="22"/>
              </w:rPr>
              <w:t xml:space="preserve"> maternal alcohol and substance use</w:t>
            </w:r>
            <w:r w:rsidR="00F6417F">
              <w:rPr>
                <w:rFonts w:cs="Arial"/>
                <w:sz w:val="22"/>
                <w:szCs w:val="22"/>
              </w:rPr>
              <w:t>;</w:t>
            </w:r>
            <w:r w:rsidRPr="00E15B5E">
              <w:rPr>
                <w:rFonts w:cs="Arial"/>
                <w:sz w:val="22"/>
                <w:szCs w:val="22"/>
              </w:rPr>
              <w:t xml:space="preserve"> maternal mental health). BORN </w:t>
            </w:r>
            <w:r>
              <w:rPr>
                <w:rFonts w:cs="Arial"/>
                <w:sz w:val="22"/>
                <w:szCs w:val="22"/>
              </w:rPr>
              <w:t>is conducting a webinar today on the B</w:t>
            </w:r>
            <w:r w:rsidR="00F6417F">
              <w:rPr>
                <w:rFonts w:cs="Arial"/>
                <w:sz w:val="22"/>
                <w:szCs w:val="22"/>
              </w:rPr>
              <w:t>ORN</w:t>
            </w:r>
            <w:r>
              <w:rPr>
                <w:rFonts w:cs="Arial"/>
                <w:sz w:val="22"/>
                <w:szCs w:val="22"/>
              </w:rPr>
              <w:t xml:space="preserve"> Information System (BIS). D</w:t>
            </w:r>
            <w:r w:rsidRPr="00E15B5E">
              <w:rPr>
                <w:rFonts w:cs="Arial"/>
                <w:sz w:val="22"/>
                <w:szCs w:val="22"/>
              </w:rPr>
              <w:t xml:space="preserve">ata cube training is proceeding for those PHUs that have completed appropriate </w:t>
            </w:r>
            <w:r w:rsidR="00F6417F">
              <w:rPr>
                <w:rFonts w:cs="Arial"/>
                <w:sz w:val="22"/>
                <w:szCs w:val="22"/>
              </w:rPr>
              <w:t>data sharing agreements</w:t>
            </w:r>
            <w:r w:rsidRPr="00E15B5E">
              <w:rPr>
                <w:rFonts w:cs="Arial"/>
                <w:sz w:val="22"/>
                <w:szCs w:val="22"/>
              </w:rPr>
              <w:t xml:space="preserve">. </w:t>
            </w:r>
          </w:p>
        </w:tc>
        <w:tc>
          <w:tcPr>
            <w:tcW w:w="2789" w:type="dxa"/>
            <w:tcMar>
              <w:top w:w="29" w:type="dxa"/>
              <w:left w:w="86" w:type="dxa"/>
              <w:bottom w:w="29" w:type="dxa"/>
              <w:right w:w="86" w:type="dxa"/>
            </w:tcMar>
          </w:tcPr>
          <w:p w:rsidR="00E566B4" w:rsidRPr="00D77AF2" w:rsidRDefault="00E566B4" w:rsidP="00D52F48">
            <w:pPr>
              <w:keepNext/>
              <w:keepLines/>
              <w:ind w:left="101"/>
              <w:rPr>
                <w:rFonts w:cs="Arial"/>
                <w:sz w:val="22"/>
                <w:szCs w:val="22"/>
              </w:rPr>
            </w:pPr>
          </w:p>
        </w:tc>
      </w:tr>
      <w:tr w:rsidR="00E566B4" w:rsidRPr="00D77AF2">
        <w:trPr>
          <w:trHeight w:val="339"/>
        </w:trPr>
        <w:tc>
          <w:tcPr>
            <w:tcW w:w="630" w:type="dxa"/>
            <w:tcMar>
              <w:top w:w="29" w:type="dxa"/>
              <w:left w:w="86" w:type="dxa"/>
              <w:bottom w:w="29" w:type="dxa"/>
              <w:right w:w="86" w:type="dxa"/>
            </w:tcMar>
          </w:tcPr>
          <w:p w:rsidR="00E566B4" w:rsidRPr="00621712" w:rsidRDefault="00E566B4" w:rsidP="00621712">
            <w:pPr>
              <w:jc w:val="right"/>
              <w:rPr>
                <w:rFonts w:cs="Arial"/>
                <w:sz w:val="22"/>
                <w:szCs w:val="22"/>
              </w:rPr>
            </w:pPr>
            <w:r>
              <w:rPr>
                <w:rFonts w:cs="Arial"/>
                <w:sz w:val="22"/>
                <w:szCs w:val="22"/>
              </w:rPr>
              <w:lastRenderedPageBreak/>
              <w:t>5.2</w:t>
            </w:r>
          </w:p>
        </w:tc>
        <w:tc>
          <w:tcPr>
            <w:tcW w:w="6297" w:type="dxa"/>
            <w:tcMar>
              <w:top w:w="29" w:type="dxa"/>
              <w:left w:w="86" w:type="dxa"/>
              <w:bottom w:w="29" w:type="dxa"/>
              <w:right w:w="86" w:type="dxa"/>
            </w:tcMar>
          </w:tcPr>
          <w:p w:rsidR="00E566B4" w:rsidRPr="00570620" w:rsidRDefault="00E566B4" w:rsidP="00570620">
            <w:pPr>
              <w:rPr>
                <w:rFonts w:cs="Arial"/>
                <w:b/>
                <w:sz w:val="22"/>
                <w:szCs w:val="22"/>
              </w:rPr>
            </w:pPr>
            <w:r w:rsidRPr="00570620">
              <w:rPr>
                <w:rFonts w:cs="Arial"/>
                <w:b/>
                <w:sz w:val="22"/>
                <w:szCs w:val="22"/>
              </w:rPr>
              <w:t>Social Determinants of Health</w:t>
            </w:r>
          </w:p>
          <w:p w:rsidR="00E566B4" w:rsidRPr="000A1B47" w:rsidRDefault="00086481" w:rsidP="00F6417F">
            <w:pPr>
              <w:rPr>
                <w:rFonts w:cs="Arial"/>
                <w:sz w:val="22"/>
                <w:szCs w:val="22"/>
              </w:rPr>
            </w:pPr>
            <w:r>
              <w:rPr>
                <w:rFonts w:cs="Arial"/>
                <w:sz w:val="22"/>
                <w:szCs w:val="22"/>
              </w:rPr>
              <w:t xml:space="preserve">Virginia reported: </w:t>
            </w:r>
            <w:r w:rsidRPr="00086481">
              <w:rPr>
                <w:rFonts w:cs="Arial"/>
                <w:sz w:val="22"/>
                <w:szCs w:val="22"/>
              </w:rPr>
              <w:t>Meetings will be held monthly for the next few months</w:t>
            </w:r>
            <w:r>
              <w:rPr>
                <w:rFonts w:cs="Arial"/>
                <w:sz w:val="22"/>
                <w:szCs w:val="22"/>
              </w:rPr>
              <w:t xml:space="preserve">. </w:t>
            </w:r>
            <w:r w:rsidR="00F6417F">
              <w:rPr>
                <w:rFonts w:cs="Arial"/>
                <w:sz w:val="22"/>
                <w:szCs w:val="22"/>
              </w:rPr>
              <w:t>The g</w:t>
            </w:r>
            <w:r>
              <w:rPr>
                <w:rFonts w:cs="Arial"/>
                <w:sz w:val="22"/>
                <w:szCs w:val="22"/>
              </w:rPr>
              <w:t xml:space="preserve">roup </w:t>
            </w:r>
            <w:r w:rsidRPr="00086481">
              <w:rPr>
                <w:rFonts w:cs="Arial"/>
                <w:sz w:val="22"/>
                <w:szCs w:val="22"/>
              </w:rPr>
              <w:t>ha</w:t>
            </w:r>
            <w:r>
              <w:rPr>
                <w:rFonts w:cs="Arial"/>
                <w:sz w:val="22"/>
                <w:szCs w:val="22"/>
              </w:rPr>
              <w:t>s</w:t>
            </w:r>
            <w:r w:rsidRPr="00086481">
              <w:rPr>
                <w:rFonts w:cs="Arial"/>
                <w:sz w:val="22"/>
                <w:szCs w:val="22"/>
              </w:rPr>
              <w:t xml:space="preserve"> lost </w:t>
            </w:r>
            <w:r>
              <w:rPr>
                <w:rFonts w:cs="Arial"/>
                <w:sz w:val="22"/>
                <w:szCs w:val="22"/>
              </w:rPr>
              <w:t>some</w:t>
            </w:r>
            <w:r w:rsidRPr="00086481">
              <w:rPr>
                <w:rFonts w:cs="Arial"/>
                <w:sz w:val="22"/>
                <w:szCs w:val="22"/>
              </w:rPr>
              <w:t xml:space="preserve"> members. </w:t>
            </w:r>
            <w:r w:rsidR="00F6417F" w:rsidRPr="00F6417F">
              <w:rPr>
                <w:rFonts w:cs="Arial"/>
                <w:sz w:val="22"/>
                <w:szCs w:val="22"/>
              </w:rPr>
              <w:t xml:space="preserve">Four indicators have been completed. </w:t>
            </w:r>
            <w:r w:rsidRPr="00086481">
              <w:rPr>
                <w:rFonts w:cs="Arial"/>
                <w:sz w:val="22"/>
                <w:szCs w:val="22"/>
              </w:rPr>
              <w:t xml:space="preserve">Three indicators </w:t>
            </w:r>
            <w:r>
              <w:rPr>
                <w:rFonts w:cs="Arial"/>
                <w:sz w:val="22"/>
                <w:szCs w:val="22"/>
              </w:rPr>
              <w:t>(</w:t>
            </w:r>
            <w:r w:rsidRPr="00086481">
              <w:rPr>
                <w:rFonts w:cs="Arial"/>
                <w:sz w:val="22"/>
                <w:szCs w:val="22"/>
              </w:rPr>
              <w:t>urban and rural population; immigrant population</w:t>
            </w:r>
            <w:r>
              <w:rPr>
                <w:rFonts w:cs="Arial"/>
                <w:sz w:val="22"/>
                <w:szCs w:val="22"/>
              </w:rPr>
              <w:t>;</w:t>
            </w:r>
            <w:r w:rsidRPr="00086481">
              <w:rPr>
                <w:rFonts w:cs="Arial"/>
                <w:sz w:val="22"/>
                <w:szCs w:val="22"/>
              </w:rPr>
              <w:t xml:space="preserve"> and percent who can’t speak English </w:t>
            </w:r>
            <w:r w:rsidR="00F6417F">
              <w:rPr>
                <w:rFonts w:cs="Arial"/>
                <w:sz w:val="22"/>
                <w:szCs w:val="22"/>
              </w:rPr>
              <w:t>or</w:t>
            </w:r>
            <w:r w:rsidRPr="00086481">
              <w:rPr>
                <w:rFonts w:cs="Arial"/>
                <w:sz w:val="22"/>
                <w:szCs w:val="22"/>
              </w:rPr>
              <w:t xml:space="preserve"> French</w:t>
            </w:r>
            <w:r>
              <w:rPr>
                <w:rFonts w:cs="Arial"/>
                <w:sz w:val="22"/>
                <w:szCs w:val="22"/>
              </w:rPr>
              <w:t>)</w:t>
            </w:r>
            <w:r w:rsidRPr="00086481">
              <w:rPr>
                <w:rFonts w:cs="Arial"/>
                <w:sz w:val="22"/>
                <w:szCs w:val="22"/>
              </w:rPr>
              <w:t xml:space="preserve"> are outstanding. </w:t>
            </w:r>
            <w:r>
              <w:rPr>
                <w:rFonts w:cs="Arial"/>
                <w:sz w:val="22"/>
                <w:szCs w:val="22"/>
              </w:rPr>
              <w:t xml:space="preserve">The group hopes to complete work on </w:t>
            </w:r>
            <w:r w:rsidR="00F6417F">
              <w:rPr>
                <w:rFonts w:cs="Arial"/>
                <w:sz w:val="22"/>
                <w:szCs w:val="22"/>
              </w:rPr>
              <w:t xml:space="preserve">these </w:t>
            </w:r>
            <w:r>
              <w:rPr>
                <w:rFonts w:cs="Arial"/>
                <w:sz w:val="22"/>
                <w:szCs w:val="22"/>
              </w:rPr>
              <w:t>indicators by the end of the summer.</w:t>
            </w:r>
            <w:r w:rsidR="00F6417F">
              <w:rPr>
                <w:rFonts w:cs="Arial"/>
                <w:sz w:val="22"/>
                <w:szCs w:val="22"/>
              </w:rPr>
              <w:t xml:space="preserve"> </w:t>
            </w:r>
          </w:p>
        </w:tc>
        <w:tc>
          <w:tcPr>
            <w:tcW w:w="2789" w:type="dxa"/>
            <w:tcMar>
              <w:top w:w="29" w:type="dxa"/>
              <w:left w:w="86" w:type="dxa"/>
              <w:bottom w:w="29" w:type="dxa"/>
              <w:right w:w="86" w:type="dxa"/>
            </w:tcMar>
          </w:tcPr>
          <w:p w:rsidR="00E566B4" w:rsidRPr="00D77AF2" w:rsidRDefault="00E566B4" w:rsidP="00D77AF2">
            <w:pPr>
              <w:ind w:left="101"/>
              <w:rPr>
                <w:rFonts w:cs="Arial"/>
                <w:sz w:val="22"/>
                <w:szCs w:val="22"/>
              </w:rPr>
            </w:pPr>
          </w:p>
        </w:tc>
      </w:tr>
      <w:tr w:rsidR="00E566B4" w:rsidRPr="00D77AF2">
        <w:trPr>
          <w:trHeight w:val="339"/>
        </w:trPr>
        <w:tc>
          <w:tcPr>
            <w:tcW w:w="630" w:type="dxa"/>
            <w:tcMar>
              <w:top w:w="29" w:type="dxa"/>
              <w:left w:w="86" w:type="dxa"/>
              <w:bottom w:w="29" w:type="dxa"/>
              <w:right w:w="86" w:type="dxa"/>
            </w:tcMar>
          </w:tcPr>
          <w:p w:rsidR="00E566B4" w:rsidRPr="00621712" w:rsidRDefault="00E566B4" w:rsidP="00621712">
            <w:pPr>
              <w:jc w:val="right"/>
              <w:rPr>
                <w:rFonts w:cs="Arial"/>
                <w:sz w:val="22"/>
                <w:szCs w:val="22"/>
              </w:rPr>
            </w:pPr>
            <w:r>
              <w:rPr>
                <w:rFonts w:cs="Arial"/>
                <w:sz w:val="22"/>
                <w:szCs w:val="22"/>
              </w:rPr>
              <w:t>5.3</w:t>
            </w:r>
          </w:p>
        </w:tc>
        <w:tc>
          <w:tcPr>
            <w:tcW w:w="6297" w:type="dxa"/>
            <w:tcMar>
              <w:top w:w="29" w:type="dxa"/>
              <w:left w:w="86" w:type="dxa"/>
              <w:bottom w:w="29" w:type="dxa"/>
              <w:right w:w="86" w:type="dxa"/>
            </w:tcMar>
          </w:tcPr>
          <w:p w:rsidR="00E566B4" w:rsidRDefault="00E566B4" w:rsidP="00570620">
            <w:pPr>
              <w:rPr>
                <w:rFonts w:cs="Arial"/>
                <w:b/>
                <w:sz w:val="22"/>
                <w:szCs w:val="22"/>
              </w:rPr>
            </w:pPr>
            <w:r w:rsidRPr="00570620">
              <w:rPr>
                <w:rFonts w:cs="Arial"/>
                <w:b/>
                <w:sz w:val="22"/>
                <w:szCs w:val="22"/>
              </w:rPr>
              <w:t>Injury and Substance Misuse</w:t>
            </w:r>
          </w:p>
          <w:p w:rsidR="00E566B4" w:rsidRPr="000A1B47" w:rsidRDefault="00086481" w:rsidP="00086481">
            <w:pPr>
              <w:rPr>
                <w:rFonts w:cs="Arial"/>
                <w:sz w:val="22"/>
                <w:szCs w:val="22"/>
              </w:rPr>
            </w:pPr>
            <w:r w:rsidRPr="00086481">
              <w:rPr>
                <w:rFonts w:cs="Arial"/>
                <w:sz w:val="22"/>
                <w:szCs w:val="22"/>
              </w:rPr>
              <w:t xml:space="preserve">Suzanne </w:t>
            </w:r>
            <w:r>
              <w:rPr>
                <w:rFonts w:cs="Arial"/>
                <w:sz w:val="22"/>
                <w:szCs w:val="22"/>
              </w:rPr>
              <w:t>reported: The group is currently on hiatus, but will r</w:t>
            </w:r>
            <w:r w:rsidRPr="00086481">
              <w:rPr>
                <w:rFonts w:cs="Arial"/>
                <w:sz w:val="22"/>
                <w:szCs w:val="22"/>
              </w:rPr>
              <w:t xml:space="preserve">econvene </w:t>
            </w:r>
            <w:r w:rsidR="00D310B6">
              <w:rPr>
                <w:rFonts w:cs="Arial"/>
                <w:sz w:val="22"/>
                <w:szCs w:val="22"/>
              </w:rPr>
              <w:t xml:space="preserve">to </w:t>
            </w:r>
            <w:r>
              <w:rPr>
                <w:rFonts w:cs="Arial"/>
                <w:sz w:val="22"/>
                <w:szCs w:val="22"/>
              </w:rPr>
              <w:t xml:space="preserve">work on </w:t>
            </w:r>
            <w:r w:rsidRPr="00086481">
              <w:rPr>
                <w:rFonts w:cs="Arial"/>
                <w:sz w:val="22"/>
                <w:szCs w:val="22"/>
              </w:rPr>
              <w:t>alcohol-attributable indicators.</w:t>
            </w:r>
          </w:p>
        </w:tc>
        <w:tc>
          <w:tcPr>
            <w:tcW w:w="2789" w:type="dxa"/>
            <w:tcMar>
              <w:top w:w="29" w:type="dxa"/>
              <w:left w:w="86" w:type="dxa"/>
              <w:bottom w:w="29" w:type="dxa"/>
              <w:right w:w="86" w:type="dxa"/>
            </w:tcMar>
          </w:tcPr>
          <w:p w:rsidR="00E566B4" w:rsidRPr="00D77AF2" w:rsidRDefault="00E566B4" w:rsidP="00570620">
            <w:pPr>
              <w:rPr>
                <w:rFonts w:cs="Arial"/>
                <w:sz w:val="22"/>
                <w:szCs w:val="22"/>
              </w:rPr>
            </w:pPr>
          </w:p>
        </w:tc>
      </w:tr>
      <w:tr w:rsidR="00E566B4" w:rsidRPr="00D77AF2">
        <w:trPr>
          <w:trHeight w:val="339"/>
        </w:trPr>
        <w:tc>
          <w:tcPr>
            <w:tcW w:w="630" w:type="dxa"/>
            <w:tcMar>
              <w:top w:w="29" w:type="dxa"/>
              <w:left w:w="86" w:type="dxa"/>
              <w:bottom w:w="29" w:type="dxa"/>
              <w:right w:w="86" w:type="dxa"/>
            </w:tcMar>
          </w:tcPr>
          <w:p w:rsidR="00E566B4" w:rsidRPr="00621712" w:rsidRDefault="00E566B4" w:rsidP="00621712">
            <w:pPr>
              <w:jc w:val="right"/>
              <w:rPr>
                <w:rFonts w:cs="Arial"/>
                <w:sz w:val="22"/>
                <w:szCs w:val="22"/>
              </w:rPr>
            </w:pPr>
            <w:r>
              <w:rPr>
                <w:rFonts w:cs="Arial"/>
                <w:sz w:val="22"/>
                <w:szCs w:val="22"/>
              </w:rPr>
              <w:t>5.4</w:t>
            </w:r>
          </w:p>
        </w:tc>
        <w:tc>
          <w:tcPr>
            <w:tcW w:w="6297" w:type="dxa"/>
            <w:tcMar>
              <w:top w:w="29" w:type="dxa"/>
              <w:left w:w="86" w:type="dxa"/>
              <w:bottom w:w="29" w:type="dxa"/>
              <w:right w:w="86" w:type="dxa"/>
            </w:tcMar>
          </w:tcPr>
          <w:p w:rsidR="00E566B4" w:rsidRPr="00570620" w:rsidRDefault="00E566B4" w:rsidP="00067B64">
            <w:pPr>
              <w:rPr>
                <w:rFonts w:cs="Arial"/>
                <w:b/>
                <w:sz w:val="22"/>
                <w:szCs w:val="22"/>
              </w:rPr>
            </w:pPr>
            <w:r w:rsidRPr="00570620">
              <w:rPr>
                <w:rFonts w:cs="Arial"/>
                <w:b/>
                <w:sz w:val="22"/>
                <w:szCs w:val="22"/>
              </w:rPr>
              <w:t>Healthy Eating and Active Living</w:t>
            </w:r>
          </w:p>
          <w:p w:rsidR="00086481" w:rsidRDefault="00086481" w:rsidP="00067B64">
            <w:pPr>
              <w:rPr>
                <w:rFonts w:cs="Arial"/>
                <w:sz w:val="22"/>
                <w:szCs w:val="22"/>
              </w:rPr>
            </w:pPr>
            <w:r>
              <w:rPr>
                <w:rFonts w:cs="Arial"/>
                <w:sz w:val="22"/>
                <w:szCs w:val="22"/>
              </w:rPr>
              <w:t>Suzanne reported: Drinking in excess of the LRA</w:t>
            </w:r>
            <w:r w:rsidR="00965156">
              <w:rPr>
                <w:rFonts w:cs="Arial"/>
                <w:sz w:val="22"/>
                <w:szCs w:val="22"/>
              </w:rPr>
              <w:t>D</w:t>
            </w:r>
            <w:r>
              <w:rPr>
                <w:rFonts w:cs="Arial"/>
                <w:sz w:val="22"/>
                <w:szCs w:val="22"/>
              </w:rPr>
              <w:t xml:space="preserve">G indicator has undergone external review and has been finalized. The subgroup has been adjourned.  </w:t>
            </w:r>
          </w:p>
          <w:p w:rsidR="00D310B6" w:rsidRDefault="00D310B6" w:rsidP="00D310B6">
            <w:pPr>
              <w:rPr>
                <w:rFonts w:cs="Arial"/>
                <w:sz w:val="22"/>
                <w:szCs w:val="22"/>
              </w:rPr>
            </w:pPr>
          </w:p>
          <w:p w:rsidR="00E566B4" w:rsidRPr="000A1B47" w:rsidRDefault="00086481" w:rsidP="002A6284">
            <w:pPr>
              <w:rPr>
                <w:rFonts w:cs="Arial"/>
                <w:sz w:val="22"/>
                <w:szCs w:val="22"/>
              </w:rPr>
            </w:pPr>
            <w:r w:rsidRPr="00086481">
              <w:rPr>
                <w:rFonts w:cs="Arial"/>
                <w:sz w:val="22"/>
                <w:szCs w:val="22"/>
              </w:rPr>
              <w:t xml:space="preserve">Brenda </w:t>
            </w:r>
            <w:r>
              <w:rPr>
                <w:rFonts w:cs="Arial"/>
                <w:sz w:val="22"/>
                <w:szCs w:val="22"/>
              </w:rPr>
              <w:t xml:space="preserve">reported that the CMOH executive has proposed </w:t>
            </w:r>
            <w:r w:rsidRPr="00086481">
              <w:rPr>
                <w:rFonts w:cs="Arial"/>
                <w:sz w:val="22"/>
                <w:szCs w:val="22"/>
              </w:rPr>
              <w:t xml:space="preserve">drafting a letter to the province </w:t>
            </w:r>
            <w:r w:rsidR="002A6284">
              <w:rPr>
                <w:rFonts w:cs="Arial"/>
                <w:sz w:val="22"/>
                <w:szCs w:val="22"/>
              </w:rPr>
              <w:t>outlining</w:t>
            </w:r>
            <w:r w:rsidR="00D310B6">
              <w:rPr>
                <w:rFonts w:cs="Arial"/>
                <w:sz w:val="22"/>
                <w:szCs w:val="22"/>
              </w:rPr>
              <w:t xml:space="preserve"> their </w:t>
            </w:r>
            <w:r w:rsidRPr="00086481">
              <w:rPr>
                <w:rFonts w:cs="Arial"/>
                <w:sz w:val="22"/>
                <w:szCs w:val="22"/>
              </w:rPr>
              <w:t>concern</w:t>
            </w:r>
            <w:r w:rsidR="00D310B6">
              <w:rPr>
                <w:rFonts w:cs="Arial"/>
                <w:sz w:val="22"/>
                <w:szCs w:val="22"/>
              </w:rPr>
              <w:t xml:space="preserve"> that provincial policy </w:t>
            </w:r>
            <w:r w:rsidR="002A6284">
              <w:rPr>
                <w:rFonts w:cs="Arial"/>
                <w:sz w:val="22"/>
                <w:szCs w:val="22"/>
              </w:rPr>
              <w:t xml:space="preserve">under consideration </w:t>
            </w:r>
            <w:r w:rsidR="00D310B6">
              <w:rPr>
                <w:rFonts w:cs="Arial"/>
                <w:sz w:val="22"/>
                <w:szCs w:val="22"/>
              </w:rPr>
              <w:t xml:space="preserve">that will increase access to alcohol is not in alignment with the MOHLTC Accountability Agreement LRADG indicator. </w:t>
            </w:r>
          </w:p>
        </w:tc>
        <w:tc>
          <w:tcPr>
            <w:tcW w:w="2789" w:type="dxa"/>
            <w:tcMar>
              <w:top w:w="29" w:type="dxa"/>
              <w:left w:w="86" w:type="dxa"/>
              <w:bottom w:w="29" w:type="dxa"/>
              <w:right w:w="86" w:type="dxa"/>
            </w:tcMar>
          </w:tcPr>
          <w:p w:rsidR="00E566B4" w:rsidRPr="00D77AF2" w:rsidRDefault="00E566B4" w:rsidP="00067B64">
            <w:pPr>
              <w:rPr>
                <w:rFonts w:cs="Arial"/>
                <w:sz w:val="22"/>
                <w:szCs w:val="22"/>
              </w:rPr>
            </w:pPr>
          </w:p>
        </w:tc>
      </w:tr>
      <w:tr w:rsidR="00E566B4" w:rsidRPr="00D77AF2">
        <w:trPr>
          <w:trHeight w:val="339"/>
        </w:trPr>
        <w:tc>
          <w:tcPr>
            <w:tcW w:w="630" w:type="dxa"/>
            <w:tcMar>
              <w:top w:w="29" w:type="dxa"/>
              <w:left w:w="86" w:type="dxa"/>
              <w:bottom w:w="29" w:type="dxa"/>
              <w:right w:w="86" w:type="dxa"/>
            </w:tcMar>
          </w:tcPr>
          <w:p w:rsidR="00E566B4" w:rsidRPr="00621712" w:rsidRDefault="00E566B4" w:rsidP="00621712">
            <w:pPr>
              <w:jc w:val="right"/>
              <w:rPr>
                <w:rFonts w:cs="Arial"/>
                <w:sz w:val="22"/>
                <w:szCs w:val="22"/>
              </w:rPr>
            </w:pPr>
            <w:r>
              <w:rPr>
                <w:rFonts w:cs="Arial"/>
                <w:sz w:val="22"/>
                <w:szCs w:val="22"/>
              </w:rPr>
              <w:t>5.5</w:t>
            </w:r>
          </w:p>
        </w:tc>
        <w:tc>
          <w:tcPr>
            <w:tcW w:w="6297" w:type="dxa"/>
            <w:tcMar>
              <w:top w:w="29" w:type="dxa"/>
              <w:left w:w="86" w:type="dxa"/>
              <w:bottom w:w="29" w:type="dxa"/>
              <w:right w:w="86" w:type="dxa"/>
            </w:tcMar>
          </w:tcPr>
          <w:p w:rsidR="00E566B4" w:rsidRPr="00570620" w:rsidRDefault="00E566B4" w:rsidP="00570620">
            <w:pPr>
              <w:rPr>
                <w:rFonts w:cs="Arial"/>
                <w:b/>
                <w:sz w:val="22"/>
                <w:szCs w:val="22"/>
              </w:rPr>
            </w:pPr>
            <w:r w:rsidRPr="00570620">
              <w:rPr>
                <w:rFonts w:cs="Arial"/>
                <w:b/>
                <w:sz w:val="22"/>
                <w:szCs w:val="22"/>
              </w:rPr>
              <w:t>The Built Environment</w:t>
            </w:r>
          </w:p>
          <w:p w:rsidR="00E566B4" w:rsidRPr="000A1B47" w:rsidRDefault="00D310B6" w:rsidP="00D310B6">
            <w:pPr>
              <w:rPr>
                <w:rFonts w:cs="Arial"/>
                <w:sz w:val="22"/>
                <w:szCs w:val="22"/>
              </w:rPr>
            </w:pPr>
            <w:r>
              <w:rPr>
                <w:rFonts w:cs="Arial"/>
                <w:sz w:val="22"/>
                <w:szCs w:val="22"/>
              </w:rPr>
              <w:t xml:space="preserve">Brenda reported: </w:t>
            </w:r>
            <w:r w:rsidRPr="00D310B6">
              <w:rPr>
                <w:rFonts w:cs="Arial"/>
                <w:sz w:val="22"/>
                <w:szCs w:val="22"/>
              </w:rPr>
              <w:t xml:space="preserve">Ahalya had a student working with her who did an environmental scan for </w:t>
            </w:r>
            <w:r>
              <w:rPr>
                <w:rFonts w:cs="Arial"/>
                <w:sz w:val="22"/>
                <w:szCs w:val="22"/>
              </w:rPr>
              <w:t>a ‘food desert’</w:t>
            </w:r>
            <w:r w:rsidRPr="00D310B6">
              <w:rPr>
                <w:rFonts w:cs="Arial"/>
                <w:sz w:val="22"/>
                <w:szCs w:val="22"/>
              </w:rPr>
              <w:t xml:space="preserve"> indicator</w:t>
            </w:r>
            <w:r>
              <w:rPr>
                <w:rFonts w:cs="Arial"/>
                <w:sz w:val="22"/>
                <w:szCs w:val="22"/>
              </w:rPr>
              <w:t xml:space="preserve"> </w:t>
            </w:r>
            <w:r w:rsidRPr="00D310B6">
              <w:rPr>
                <w:rFonts w:cs="Arial"/>
                <w:sz w:val="22"/>
                <w:szCs w:val="22"/>
              </w:rPr>
              <w:t xml:space="preserve">currently under development </w:t>
            </w:r>
          </w:p>
        </w:tc>
        <w:tc>
          <w:tcPr>
            <w:tcW w:w="2789" w:type="dxa"/>
            <w:tcMar>
              <w:top w:w="29" w:type="dxa"/>
              <w:left w:w="86" w:type="dxa"/>
              <w:bottom w:w="29" w:type="dxa"/>
              <w:right w:w="86" w:type="dxa"/>
            </w:tcMar>
          </w:tcPr>
          <w:p w:rsidR="00E566B4" w:rsidRPr="00D77AF2" w:rsidRDefault="00E566B4" w:rsidP="00D77AF2">
            <w:pPr>
              <w:ind w:left="101"/>
              <w:rPr>
                <w:rFonts w:cs="Arial"/>
                <w:sz w:val="22"/>
                <w:szCs w:val="22"/>
              </w:rPr>
            </w:pPr>
          </w:p>
        </w:tc>
      </w:tr>
      <w:tr w:rsidR="00D310B6" w:rsidRPr="00D77AF2">
        <w:trPr>
          <w:trHeight w:val="339"/>
        </w:trPr>
        <w:tc>
          <w:tcPr>
            <w:tcW w:w="630" w:type="dxa"/>
            <w:tcMar>
              <w:top w:w="29" w:type="dxa"/>
              <w:left w:w="86" w:type="dxa"/>
              <w:bottom w:w="29" w:type="dxa"/>
              <w:right w:w="86" w:type="dxa"/>
            </w:tcMar>
          </w:tcPr>
          <w:p w:rsidR="00D310B6" w:rsidRDefault="00D310B6" w:rsidP="00621712">
            <w:pPr>
              <w:jc w:val="right"/>
              <w:rPr>
                <w:rFonts w:cs="Arial"/>
                <w:sz w:val="22"/>
                <w:szCs w:val="22"/>
              </w:rPr>
            </w:pPr>
            <w:r>
              <w:rPr>
                <w:rFonts w:cs="Arial"/>
                <w:sz w:val="22"/>
                <w:szCs w:val="22"/>
              </w:rPr>
              <w:t>5.6</w:t>
            </w:r>
          </w:p>
        </w:tc>
        <w:tc>
          <w:tcPr>
            <w:tcW w:w="6297" w:type="dxa"/>
            <w:tcMar>
              <w:top w:w="29" w:type="dxa"/>
              <w:left w:w="86" w:type="dxa"/>
              <w:bottom w:w="29" w:type="dxa"/>
              <w:right w:w="86" w:type="dxa"/>
            </w:tcMar>
          </w:tcPr>
          <w:p w:rsidR="00D310B6" w:rsidRPr="00D310B6" w:rsidRDefault="00D310B6" w:rsidP="00570620">
            <w:pPr>
              <w:rPr>
                <w:rFonts w:cs="Arial"/>
                <w:b/>
                <w:sz w:val="22"/>
                <w:szCs w:val="22"/>
              </w:rPr>
            </w:pPr>
            <w:r w:rsidRPr="00D310B6">
              <w:rPr>
                <w:rFonts w:cs="Arial"/>
                <w:b/>
                <w:sz w:val="22"/>
                <w:szCs w:val="22"/>
              </w:rPr>
              <w:t>Preventable Mortality</w:t>
            </w:r>
          </w:p>
          <w:p w:rsidR="00D310B6" w:rsidRPr="00D310B6" w:rsidRDefault="00D310B6" w:rsidP="00570620">
            <w:pPr>
              <w:rPr>
                <w:rFonts w:cs="Arial"/>
                <w:sz w:val="22"/>
                <w:szCs w:val="22"/>
              </w:rPr>
            </w:pPr>
            <w:r w:rsidRPr="00D310B6">
              <w:rPr>
                <w:rFonts w:cs="Arial"/>
                <w:sz w:val="22"/>
                <w:szCs w:val="22"/>
              </w:rPr>
              <w:t>Suzanne reported on behalf of Sherri: The preventable mortality indicator will be expanded to include:</w:t>
            </w:r>
          </w:p>
          <w:p w:rsidR="00D310B6" w:rsidRPr="00FE25A1" w:rsidRDefault="00FE25A1" w:rsidP="00FE25A1">
            <w:pPr>
              <w:pStyle w:val="ListParagraph"/>
              <w:numPr>
                <w:ilvl w:val="0"/>
                <w:numId w:val="25"/>
              </w:numPr>
              <w:rPr>
                <w:rFonts w:ascii="Arial" w:hAnsi="Arial" w:cs="Arial"/>
              </w:rPr>
            </w:pPr>
            <w:r w:rsidRPr="00FE25A1">
              <w:rPr>
                <w:rFonts w:ascii="Arial" w:hAnsi="Arial" w:cs="Arial"/>
              </w:rPr>
              <w:t>Potentially Avoidable Mortality</w:t>
            </w:r>
          </w:p>
          <w:p w:rsidR="00FE25A1" w:rsidRPr="00FE25A1" w:rsidRDefault="00FE25A1" w:rsidP="00FE25A1">
            <w:pPr>
              <w:pStyle w:val="ListParagraph"/>
              <w:numPr>
                <w:ilvl w:val="0"/>
                <w:numId w:val="25"/>
              </w:numPr>
              <w:rPr>
                <w:rFonts w:ascii="Arial" w:hAnsi="Arial" w:cs="Arial"/>
              </w:rPr>
            </w:pPr>
            <w:r w:rsidRPr="00FE25A1">
              <w:rPr>
                <w:rFonts w:ascii="Arial" w:hAnsi="Arial" w:cs="Arial"/>
              </w:rPr>
              <w:t xml:space="preserve">Treatable Mortality, and </w:t>
            </w:r>
          </w:p>
          <w:p w:rsidR="00D310B6" w:rsidRPr="00FE25A1" w:rsidRDefault="00FE25A1" w:rsidP="00FE25A1">
            <w:pPr>
              <w:pStyle w:val="ListParagraph"/>
              <w:numPr>
                <w:ilvl w:val="0"/>
                <w:numId w:val="25"/>
              </w:numPr>
              <w:rPr>
                <w:rFonts w:cs="Arial"/>
              </w:rPr>
            </w:pPr>
            <w:r w:rsidRPr="00FE25A1">
              <w:rPr>
                <w:rFonts w:ascii="Arial" w:hAnsi="Arial" w:cs="Arial"/>
              </w:rPr>
              <w:t>Preventable Mortality</w:t>
            </w:r>
          </w:p>
          <w:p w:rsidR="00FE25A1" w:rsidRPr="00FE25A1" w:rsidRDefault="00FE25A1" w:rsidP="00FE25A1">
            <w:pPr>
              <w:rPr>
                <w:rFonts w:cs="Arial"/>
              </w:rPr>
            </w:pPr>
            <w:r w:rsidRPr="00FE25A1">
              <w:rPr>
                <w:rFonts w:cs="Arial"/>
                <w:sz w:val="22"/>
              </w:rPr>
              <w:t xml:space="preserve">Also suggested that the existing PYLL indicator be updated to include these groupings as well.  </w:t>
            </w:r>
            <w:r w:rsidRPr="00FE25A1">
              <w:rPr>
                <w:color w:val="000000" w:themeColor="text1"/>
                <w:sz w:val="22"/>
              </w:rPr>
              <w:t xml:space="preserve">The group then decided to review various methodologies for producing the indicator including SPSS, STATA and SAS syntax and existing </w:t>
            </w:r>
            <w:proofErr w:type="spellStart"/>
            <w:r w:rsidRPr="00FE25A1">
              <w:rPr>
                <w:color w:val="000000" w:themeColor="text1"/>
                <w:sz w:val="22"/>
              </w:rPr>
              <w:t>IntelliHEALTH</w:t>
            </w:r>
            <w:proofErr w:type="spellEnd"/>
            <w:r w:rsidRPr="00FE25A1">
              <w:rPr>
                <w:color w:val="000000" w:themeColor="text1"/>
                <w:sz w:val="22"/>
              </w:rPr>
              <w:t xml:space="preserve"> reports. These tasks were divided among group members and other tasks assigned included beginning to draft indicator comments and references and adapting other sections of the indicator template using the All-Cause Mortality indicator as a starting point. A follow up meeting will be called in the near future by the group chair.</w:t>
            </w:r>
          </w:p>
        </w:tc>
        <w:tc>
          <w:tcPr>
            <w:tcW w:w="2789" w:type="dxa"/>
            <w:tcMar>
              <w:top w:w="29" w:type="dxa"/>
              <w:left w:w="86" w:type="dxa"/>
              <w:bottom w:w="29" w:type="dxa"/>
              <w:right w:w="86" w:type="dxa"/>
            </w:tcMar>
          </w:tcPr>
          <w:p w:rsidR="00D310B6" w:rsidRPr="00D77AF2" w:rsidRDefault="00D310B6" w:rsidP="00D77AF2">
            <w:pPr>
              <w:ind w:left="101"/>
              <w:rPr>
                <w:rFonts w:cs="Arial"/>
                <w:sz w:val="22"/>
                <w:szCs w:val="22"/>
              </w:rPr>
            </w:pPr>
          </w:p>
        </w:tc>
      </w:tr>
      <w:tr w:rsidR="00E566B4" w:rsidRPr="00D77AF2">
        <w:trPr>
          <w:trHeight w:val="267"/>
        </w:trPr>
        <w:tc>
          <w:tcPr>
            <w:tcW w:w="630" w:type="dxa"/>
            <w:tcMar>
              <w:top w:w="29" w:type="dxa"/>
              <w:left w:w="86" w:type="dxa"/>
              <w:bottom w:w="29" w:type="dxa"/>
              <w:right w:w="86" w:type="dxa"/>
            </w:tcMar>
          </w:tcPr>
          <w:p w:rsidR="00E566B4" w:rsidRPr="00D77AF2" w:rsidRDefault="00E566B4" w:rsidP="00D77AF2">
            <w:pPr>
              <w:rPr>
                <w:rFonts w:cs="Arial"/>
                <w:b/>
                <w:sz w:val="22"/>
                <w:szCs w:val="22"/>
              </w:rPr>
            </w:pPr>
            <w:r w:rsidRPr="00D77AF2">
              <w:rPr>
                <w:rFonts w:cs="Arial"/>
                <w:b/>
                <w:color w:val="000000"/>
                <w:sz w:val="22"/>
                <w:szCs w:val="22"/>
              </w:rPr>
              <w:t>6.0</w:t>
            </w:r>
          </w:p>
        </w:tc>
        <w:tc>
          <w:tcPr>
            <w:tcW w:w="6297" w:type="dxa"/>
            <w:tcMar>
              <w:top w:w="29" w:type="dxa"/>
              <w:left w:w="86" w:type="dxa"/>
              <w:bottom w:w="29" w:type="dxa"/>
              <w:right w:w="86" w:type="dxa"/>
            </w:tcMar>
          </w:tcPr>
          <w:p w:rsidR="00E566B4" w:rsidRPr="00D77AF2" w:rsidRDefault="00E566B4" w:rsidP="00D77AF2">
            <w:pPr>
              <w:rPr>
                <w:rFonts w:cs="Arial"/>
                <w:b/>
                <w:sz w:val="22"/>
                <w:szCs w:val="22"/>
              </w:rPr>
            </w:pPr>
            <w:r>
              <w:rPr>
                <w:rFonts w:cs="Arial"/>
                <w:b/>
                <w:sz w:val="22"/>
                <w:szCs w:val="22"/>
              </w:rPr>
              <w:t>Standing Items</w:t>
            </w:r>
          </w:p>
        </w:tc>
        <w:tc>
          <w:tcPr>
            <w:tcW w:w="2789" w:type="dxa"/>
            <w:tcMar>
              <w:top w:w="29" w:type="dxa"/>
              <w:left w:w="86" w:type="dxa"/>
              <w:bottom w:w="29" w:type="dxa"/>
              <w:right w:w="86" w:type="dxa"/>
            </w:tcMar>
          </w:tcPr>
          <w:p w:rsidR="00E566B4" w:rsidRPr="00D77AF2" w:rsidRDefault="00E566B4" w:rsidP="00D77AF2">
            <w:pPr>
              <w:tabs>
                <w:tab w:val="center" w:pos="612"/>
              </w:tabs>
              <w:ind w:left="101"/>
              <w:rPr>
                <w:rFonts w:cs="Arial"/>
                <w:color w:val="000000"/>
                <w:sz w:val="22"/>
                <w:szCs w:val="22"/>
              </w:rPr>
            </w:pPr>
          </w:p>
        </w:tc>
      </w:tr>
      <w:tr w:rsidR="00E566B4" w:rsidRPr="00D77AF2">
        <w:trPr>
          <w:trHeight w:val="303"/>
        </w:trPr>
        <w:tc>
          <w:tcPr>
            <w:tcW w:w="630" w:type="dxa"/>
            <w:tcMar>
              <w:top w:w="29" w:type="dxa"/>
              <w:left w:w="86" w:type="dxa"/>
              <w:bottom w:w="29" w:type="dxa"/>
              <w:right w:w="86" w:type="dxa"/>
            </w:tcMar>
          </w:tcPr>
          <w:p w:rsidR="00E566B4" w:rsidRPr="00C644DA" w:rsidRDefault="00E566B4" w:rsidP="00570620">
            <w:pPr>
              <w:jc w:val="right"/>
              <w:rPr>
                <w:rFonts w:cs="Arial"/>
                <w:sz w:val="22"/>
                <w:szCs w:val="22"/>
              </w:rPr>
            </w:pPr>
            <w:r>
              <w:rPr>
                <w:rFonts w:cs="Arial"/>
                <w:sz w:val="22"/>
                <w:szCs w:val="22"/>
              </w:rPr>
              <w:t>6.1</w:t>
            </w:r>
          </w:p>
        </w:tc>
        <w:tc>
          <w:tcPr>
            <w:tcW w:w="6297" w:type="dxa"/>
            <w:tcMar>
              <w:top w:w="29" w:type="dxa"/>
              <w:left w:w="86" w:type="dxa"/>
              <w:bottom w:w="29" w:type="dxa"/>
              <w:right w:w="86" w:type="dxa"/>
            </w:tcMar>
          </w:tcPr>
          <w:p w:rsidR="00E566B4" w:rsidRDefault="00E566B4" w:rsidP="00570620">
            <w:pPr>
              <w:rPr>
                <w:rFonts w:cs="Arial"/>
                <w:b/>
                <w:sz w:val="22"/>
                <w:szCs w:val="22"/>
              </w:rPr>
            </w:pPr>
            <w:r w:rsidRPr="00570620">
              <w:rPr>
                <w:rFonts w:cs="Arial"/>
                <w:b/>
                <w:sz w:val="22"/>
                <w:szCs w:val="22"/>
              </w:rPr>
              <w:t>Operational Plan</w:t>
            </w:r>
          </w:p>
          <w:p w:rsidR="00E566B4" w:rsidRPr="00C14073" w:rsidRDefault="000A12CF" w:rsidP="00D21AEC">
            <w:pPr>
              <w:rPr>
                <w:rFonts w:cs="Arial"/>
                <w:sz w:val="22"/>
                <w:szCs w:val="22"/>
                <w:lang w:val="en-CA"/>
              </w:rPr>
            </w:pPr>
            <w:r>
              <w:rPr>
                <w:rFonts w:cs="Arial"/>
                <w:sz w:val="22"/>
                <w:szCs w:val="22"/>
                <w:lang w:val="en-CA"/>
              </w:rPr>
              <w:t>The operation</w:t>
            </w:r>
            <w:r w:rsidR="002A6284">
              <w:rPr>
                <w:rFonts w:cs="Arial"/>
                <w:sz w:val="22"/>
                <w:szCs w:val="22"/>
                <w:lang w:val="en-CA"/>
              </w:rPr>
              <w:t>al</w:t>
            </w:r>
            <w:bookmarkStart w:id="0" w:name="_GoBack"/>
            <w:bookmarkEnd w:id="0"/>
            <w:r>
              <w:rPr>
                <w:rFonts w:cs="Arial"/>
                <w:sz w:val="22"/>
                <w:szCs w:val="22"/>
                <w:lang w:val="en-CA"/>
              </w:rPr>
              <w:t xml:space="preserve"> plan was last updated in June 2013. The </w:t>
            </w:r>
            <w:r>
              <w:rPr>
                <w:rFonts w:cs="Arial"/>
                <w:sz w:val="22"/>
                <w:szCs w:val="22"/>
                <w:lang w:val="en-CA"/>
              </w:rPr>
              <w:lastRenderedPageBreak/>
              <w:t xml:space="preserve">CIWG </w:t>
            </w:r>
            <w:r>
              <w:rPr>
                <w:rFonts w:cs="Arial"/>
                <w:sz w:val="22"/>
                <w:szCs w:val="22"/>
              </w:rPr>
              <w:t>should</w:t>
            </w:r>
            <w:r w:rsidRPr="000A12CF">
              <w:rPr>
                <w:rFonts w:cs="Arial"/>
                <w:sz w:val="22"/>
                <w:szCs w:val="22"/>
              </w:rPr>
              <w:t xml:space="preserve"> revisit </w:t>
            </w:r>
            <w:r>
              <w:rPr>
                <w:rFonts w:cs="Arial"/>
                <w:sz w:val="22"/>
                <w:szCs w:val="22"/>
              </w:rPr>
              <w:t xml:space="preserve">it: </w:t>
            </w:r>
            <w:r w:rsidR="00D21AEC">
              <w:rPr>
                <w:rFonts w:cs="Arial"/>
                <w:sz w:val="22"/>
                <w:szCs w:val="22"/>
              </w:rPr>
              <w:t xml:space="preserve">determine </w:t>
            </w:r>
            <w:r w:rsidRPr="000A12CF">
              <w:rPr>
                <w:rFonts w:cs="Arial"/>
                <w:sz w:val="22"/>
                <w:szCs w:val="22"/>
              </w:rPr>
              <w:t>status</w:t>
            </w:r>
            <w:r w:rsidR="00D21AEC">
              <w:rPr>
                <w:rFonts w:cs="Arial"/>
                <w:sz w:val="22"/>
                <w:szCs w:val="22"/>
              </w:rPr>
              <w:t xml:space="preserve"> of each item</w:t>
            </w:r>
            <w:r w:rsidRPr="000A12CF">
              <w:rPr>
                <w:rFonts w:cs="Arial"/>
                <w:sz w:val="22"/>
                <w:szCs w:val="22"/>
              </w:rPr>
              <w:t>, make additions and continue discussion about strategic plan for Core Indicators.</w:t>
            </w:r>
          </w:p>
        </w:tc>
        <w:tc>
          <w:tcPr>
            <w:tcW w:w="2789" w:type="dxa"/>
            <w:tcMar>
              <w:top w:w="29" w:type="dxa"/>
              <w:left w:w="86" w:type="dxa"/>
              <w:bottom w:w="29" w:type="dxa"/>
              <w:right w:w="86" w:type="dxa"/>
            </w:tcMar>
          </w:tcPr>
          <w:p w:rsidR="00E566B4" w:rsidRDefault="000A12CF" w:rsidP="006E13F8">
            <w:pPr>
              <w:rPr>
                <w:rFonts w:cs="Arial"/>
                <w:sz w:val="22"/>
                <w:szCs w:val="22"/>
              </w:rPr>
            </w:pPr>
            <w:r>
              <w:rPr>
                <w:rFonts w:cs="Arial"/>
                <w:sz w:val="22"/>
                <w:szCs w:val="22"/>
              </w:rPr>
              <w:lastRenderedPageBreak/>
              <w:t xml:space="preserve">Brenda will circulate the current operational plan to </w:t>
            </w:r>
            <w:r>
              <w:rPr>
                <w:rFonts w:cs="Arial"/>
                <w:sz w:val="22"/>
                <w:szCs w:val="22"/>
              </w:rPr>
              <w:lastRenderedPageBreak/>
              <w:t>the group</w:t>
            </w:r>
          </w:p>
          <w:p w:rsidR="00D21AEC" w:rsidRPr="00620381" w:rsidRDefault="00D21AEC" w:rsidP="006E13F8">
            <w:pPr>
              <w:rPr>
                <w:rFonts w:cs="Arial"/>
                <w:sz w:val="22"/>
                <w:szCs w:val="22"/>
                <w:lang w:val="en-CA"/>
              </w:rPr>
            </w:pPr>
            <w:r>
              <w:rPr>
                <w:rFonts w:cs="Arial"/>
                <w:sz w:val="22"/>
                <w:szCs w:val="22"/>
              </w:rPr>
              <w:t xml:space="preserve">To be reviewed at the next meeting. </w:t>
            </w:r>
          </w:p>
        </w:tc>
      </w:tr>
      <w:tr w:rsidR="00E566B4" w:rsidRPr="00D77AF2">
        <w:trPr>
          <w:trHeight w:val="284"/>
        </w:trPr>
        <w:tc>
          <w:tcPr>
            <w:tcW w:w="630" w:type="dxa"/>
            <w:tcMar>
              <w:top w:w="29" w:type="dxa"/>
              <w:left w:w="86" w:type="dxa"/>
              <w:bottom w:w="29" w:type="dxa"/>
              <w:right w:w="86" w:type="dxa"/>
            </w:tcMar>
          </w:tcPr>
          <w:p w:rsidR="00E566B4" w:rsidRPr="00D77AF2" w:rsidRDefault="00E566B4" w:rsidP="00D77AF2">
            <w:pPr>
              <w:rPr>
                <w:rFonts w:cs="Arial"/>
                <w:b/>
                <w:sz w:val="22"/>
                <w:szCs w:val="22"/>
              </w:rPr>
            </w:pPr>
            <w:r>
              <w:rPr>
                <w:rFonts w:cs="Arial"/>
                <w:b/>
                <w:sz w:val="22"/>
                <w:szCs w:val="22"/>
              </w:rPr>
              <w:lastRenderedPageBreak/>
              <w:t>7.</w:t>
            </w:r>
            <w:r w:rsidRPr="00D77AF2">
              <w:rPr>
                <w:rFonts w:cs="Arial"/>
                <w:b/>
                <w:sz w:val="22"/>
                <w:szCs w:val="22"/>
              </w:rPr>
              <w:t>0</w:t>
            </w:r>
          </w:p>
        </w:tc>
        <w:tc>
          <w:tcPr>
            <w:tcW w:w="6297" w:type="dxa"/>
            <w:tcMar>
              <w:top w:w="29" w:type="dxa"/>
              <w:left w:w="86" w:type="dxa"/>
              <w:bottom w:w="29" w:type="dxa"/>
              <w:right w:w="86" w:type="dxa"/>
            </w:tcMar>
          </w:tcPr>
          <w:p w:rsidR="00E566B4" w:rsidRDefault="00E566B4" w:rsidP="00D77AF2">
            <w:pPr>
              <w:rPr>
                <w:rFonts w:cs="Arial"/>
                <w:b/>
                <w:sz w:val="22"/>
                <w:szCs w:val="22"/>
              </w:rPr>
            </w:pPr>
            <w:r w:rsidRPr="00D77AF2">
              <w:rPr>
                <w:rFonts w:cs="Arial"/>
                <w:b/>
                <w:sz w:val="22"/>
                <w:szCs w:val="22"/>
              </w:rPr>
              <w:t>Date</w:t>
            </w:r>
            <w:r>
              <w:rPr>
                <w:rFonts w:cs="Arial"/>
                <w:b/>
                <w:sz w:val="22"/>
                <w:szCs w:val="22"/>
              </w:rPr>
              <w:t>, Time and Location</w:t>
            </w:r>
            <w:r w:rsidRPr="00D77AF2">
              <w:rPr>
                <w:rFonts w:cs="Arial"/>
                <w:b/>
                <w:sz w:val="22"/>
                <w:szCs w:val="22"/>
              </w:rPr>
              <w:t xml:space="preserve"> of Next Meeting</w:t>
            </w:r>
          </w:p>
          <w:p w:rsidR="00E566B4" w:rsidRPr="00180FAD" w:rsidRDefault="00036CF7" w:rsidP="00D77AF2">
            <w:pPr>
              <w:rPr>
                <w:rFonts w:cs="Arial"/>
                <w:sz w:val="22"/>
                <w:szCs w:val="22"/>
              </w:rPr>
            </w:pPr>
            <w:r>
              <w:rPr>
                <w:rFonts w:cs="Arial"/>
                <w:sz w:val="22"/>
                <w:szCs w:val="22"/>
              </w:rPr>
              <w:t>TDB June 2014 (in light of upcoming APHEO workshop)</w:t>
            </w:r>
          </w:p>
        </w:tc>
        <w:tc>
          <w:tcPr>
            <w:tcW w:w="2789" w:type="dxa"/>
            <w:tcMar>
              <w:top w:w="29" w:type="dxa"/>
              <w:left w:w="86" w:type="dxa"/>
              <w:bottom w:w="29" w:type="dxa"/>
              <w:right w:w="86" w:type="dxa"/>
            </w:tcMar>
          </w:tcPr>
          <w:p w:rsidR="00E566B4" w:rsidRPr="00D77AF2" w:rsidRDefault="00036CF7" w:rsidP="00036CF7">
            <w:pPr>
              <w:ind w:left="101"/>
              <w:rPr>
                <w:rFonts w:cs="Arial"/>
                <w:sz w:val="22"/>
                <w:szCs w:val="22"/>
              </w:rPr>
            </w:pPr>
            <w:r>
              <w:rPr>
                <w:rFonts w:cs="Arial"/>
                <w:sz w:val="22"/>
                <w:szCs w:val="22"/>
              </w:rPr>
              <w:t xml:space="preserve">Suzanne </w:t>
            </w:r>
            <w:r w:rsidR="00E566B4">
              <w:rPr>
                <w:rFonts w:cs="Arial"/>
                <w:sz w:val="22"/>
                <w:szCs w:val="22"/>
              </w:rPr>
              <w:t xml:space="preserve">will send out a meeting request for </w:t>
            </w:r>
            <w:r>
              <w:rPr>
                <w:rFonts w:cs="Arial"/>
                <w:sz w:val="22"/>
                <w:szCs w:val="22"/>
              </w:rPr>
              <w:t>a June meeting</w:t>
            </w:r>
            <w:r w:rsidR="00E566B4">
              <w:rPr>
                <w:rFonts w:cs="Arial"/>
                <w:sz w:val="22"/>
                <w:szCs w:val="22"/>
              </w:rPr>
              <w:t>.</w:t>
            </w:r>
          </w:p>
        </w:tc>
      </w:tr>
    </w:tbl>
    <w:p w:rsidR="00FF33BE" w:rsidRPr="00D77AF2" w:rsidRDefault="00FF33BE" w:rsidP="00D77AF2">
      <w:pPr>
        <w:rPr>
          <w:rFonts w:cs="Arial"/>
          <w:sz w:val="22"/>
          <w:szCs w:val="22"/>
        </w:rPr>
      </w:pPr>
    </w:p>
    <w:p w:rsidR="00FF33BE" w:rsidRPr="00D77AF2" w:rsidRDefault="00FF33BE" w:rsidP="00D77AF2">
      <w:pPr>
        <w:rPr>
          <w:rFonts w:cs="Arial"/>
          <w:sz w:val="22"/>
          <w:szCs w:val="22"/>
        </w:rPr>
      </w:pPr>
    </w:p>
    <w:p w:rsidR="00FF33BE" w:rsidRPr="00D77AF2" w:rsidRDefault="00FF33BE" w:rsidP="00D77AF2">
      <w:pPr>
        <w:rPr>
          <w:rFonts w:cs="Arial"/>
          <w:sz w:val="22"/>
          <w:szCs w:val="22"/>
        </w:rPr>
      </w:pPr>
    </w:p>
    <w:p w:rsidR="00FF33BE" w:rsidRPr="00D77AF2" w:rsidRDefault="00FF33BE" w:rsidP="00D77AF2">
      <w:pPr>
        <w:rPr>
          <w:rFonts w:cs="Arial"/>
          <w:sz w:val="22"/>
          <w:szCs w:val="22"/>
        </w:rPr>
      </w:pPr>
    </w:p>
    <w:sectPr w:rsidR="00FF33BE" w:rsidRPr="00D77AF2" w:rsidSect="00364CBD">
      <w:footerReference w:type="even" r:id="rId11"/>
      <w:footerReference w:type="default" r:id="rId12"/>
      <w:type w:val="continuous"/>
      <w:pgSz w:w="12240" w:h="15840"/>
      <w:pgMar w:top="1080" w:right="806" w:bottom="72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683" w:rsidRDefault="007B0683">
      <w:r>
        <w:separator/>
      </w:r>
    </w:p>
  </w:endnote>
  <w:endnote w:type="continuationSeparator" w:id="0">
    <w:p w:rsidR="007B0683" w:rsidRDefault="007B0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83" w:rsidRDefault="007B0683" w:rsidP="00EA0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0683" w:rsidRDefault="007B0683" w:rsidP="008D64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83" w:rsidRDefault="007B0683" w:rsidP="00F75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B42">
      <w:rPr>
        <w:rStyle w:val="PageNumber"/>
        <w:noProof/>
      </w:rPr>
      <w:t>5</w:t>
    </w:r>
    <w:r>
      <w:rPr>
        <w:rStyle w:val="PageNumber"/>
      </w:rPr>
      <w:fldChar w:fldCharType="end"/>
    </w:r>
  </w:p>
  <w:p w:rsidR="007B0683" w:rsidRDefault="007B06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683" w:rsidRDefault="007B0683">
      <w:r>
        <w:separator/>
      </w:r>
    </w:p>
  </w:footnote>
  <w:footnote w:type="continuationSeparator" w:id="0">
    <w:p w:rsidR="007B0683" w:rsidRDefault="007B0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443"/>
    <w:multiLevelType w:val="hybridMultilevel"/>
    <w:tmpl w:val="4B42A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F079C6"/>
    <w:multiLevelType w:val="hybridMultilevel"/>
    <w:tmpl w:val="1B281240"/>
    <w:lvl w:ilvl="0" w:tplc="A1CC8DC4">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06826"/>
    <w:multiLevelType w:val="hybridMultilevel"/>
    <w:tmpl w:val="760C4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3705A9"/>
    <w:multiLevelType w:val="hybridMultilevel"/>
    <w:tmpl w:val="CBD43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B4571"/>
    <w:multiLevelType w:val="hybridMultilevel"/>
    <w:tmpl w:val="8C146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3C7597"/>
    <w:multiLevelType w:val="hybridMultilevel"/>
    <w:tmpl w:val="24F2BD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870688"/>
    <w:multiLevelType w:val="hybridMultilevel"/>
    <w:tmpl w:val="5A7CA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328B2"/>
    <w:multiLevelType w:val="hybridMultilevel"/>
    <w:tmpl w:val="D2549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C33BE9"/>
    <w:multiLevelType w:val="hybridMultilevel"/>
    <w:tmpl w:val="828A910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nsid w:val="1F1231FB"/>
    <w:multiLevelType w:val="hybridMultilevel"/>
    <w:tmpl w:val="70F4B9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650105"/>
    <w:multiLevelType w:val="hybridMultilevel"/>
    <w:tmpl w:val="825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808B2"/>
    <w:multiLevelType w:val="hybridMultilevel"/>
    <w:tmpl w:val="6C40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F07A1A"/>
    <w:multiLevelType w:val="hybridMultilevel"/>
    <w:tmpl w:val="14FA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81468"/>
    <w:multiLevelType w:val="hybridMultilevel"/>
    <w:tmpl w:val="D0FA82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DDD7AFA"/>
    <w:multiLevelType w:val="hybridMultilevel"/>
    <w:tmpl w:val="1922B6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EE4DF0"/>
    <w:multiLevelType w:val="hybridMultilevel"/>
    <w:tmpl w:val="4A480EDE"/>
    <w:lvl w:ilvl="0" w:tplc="3DDA2E2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B52BEA"/>
    <w:multiLevelType w:val="hybridMultilevel"/>
    <w:tmpl w:val="89585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885F56"/>
    <w:multiLevelType w:val="hybridMultilevel"/>
    <w:tmpl w:val="3CA87E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2EE2E63"/>
    <w:multiLevelType w:val="hybridMultilevel"/>
    <w:tmpl w:val="7C0C7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2D7BC0"/>
    <w:multiLevelType w:val="hybridMultilevel"/>
    <w:tmpl w:val="9E861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8C93184"/>
    <w:multiLevelType w:val="hybridMultilevel"/>
    <w:tmpl w:val="82B2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170DB"/>
    <w:multiLevelType w:val="hybridMultilevel"/>
    <w:tmpl w:val="8CCC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8655A"/>
    <w:multiLevelType w:val="hybridMultilevel"/>
    <w:tmpl w:val="EBD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96B90"/>
    <w:multiLevelType w:val="hybridMultilevel"/>
    <w:tmpl w:val="69821142"/>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cs="Times New Roman"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8"/>
  </w:num>
  <w:num w:numId="4">
    <w:abstractNumId w:val="6"/>
  </w:num>
  <w:num w:numId="5">
    <w:abstractNumId w:val="11"/>
  </w:num>
  <w:num w:numId="6">
    <w:abstractNumId w:val="3"/>
  </w:num>
  <w:num w:numId="7">
    <w:abstractNumId w:val="4"/>
  </w:num>
  <w:num w:numId="8">
    <w:abstractNumId w:val="19"/>
  </w:num>
  <w:num w:numId="9">
    <w:abstractNumId w:val="7"/>
  </w:num>
  <w:num w:numId="10">
    <w:abstractNumId w:val="1"/>
  </w:num>
  <w:num w:numId="11">
    <w:abstractNumId w:val="5"/>
  </w:num>
  <w:num w:numId="12">
    <w:abstractNumId w:val="15"/>
  </w:num>
  <w:num w:numId="13">
    <w:abstractNumId w:val="13"/>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2"/>
  </w:num>
  <w:num w:numId="19">
    <w:abstractNumId w:val="10"/>
  </w:num>
  <w:num w:numId="20">
    <w:abstractNumId w:val="20"/>
  </w:num>
  <w:num w:numId="21">
    <w:abstractNumId w:val="21"/>
  </w:num>
  <w:num w:numId="22">
    <w:abstractNumId w:val="8"/>
  </w:num>
  <w:num w:numId="23">
    <w:abstractNumId w:val="14"/>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0683"/>
    <w:rsid w:val="000012B6"/>
    <w:rsid w:val="00002543"/>
    <w:rsid w:val="00002D76"/>
    <w:rsid w:val="00002EDC"/>
    <w:rsid w:val="00004A5C"/>
    <w:rsid w:val="00005109"/>
    <w:rsid w:val="00006A94"/>
    <w:rsid w:val="0001067B"/>
    <w:rsid w:val="0001089B"/>
    <w:rsid w:val="00010AA6"/>
    <w:rsid w:val="000132E3"/>
    <w:rsid w:val="000144CD"/>
    <w:rsid w:val="00016388"/>
    <w:rsid w:val="000164C7"/>
    <w:rsid w:val="00016B3D"/>
    <w:rsid w:val="000179F6"/>
    <w:rsid w:val="000201D0"/>
    <w:rsid w:val="00020760"/>
    <w:rsid w:val="00020A61"/>
    <w:rsid w:val="00020CF9"/>
    <w:rsid w:val="00020D11"/>
    <w:rsid w:val="000217C0"/>
    <w:rsid w:val="00021927"/>
    <w:rsid w:val="00022F22"/>
    <w:rsid w:val="00023AD9"/>
    <w:rsid w:val="00024381"/>
    <w:rsid w:val="00024C2A"/>
    <w:rsid w:val="000279BD"/>
    <w:rsid w:val="00027D98"/>
    <w:rsid w:val="00030B3F"/>
    <w:rsid w:val="0003132B"/>
    <w:rsid w:val="00032024"/>
    <w:rsid w:val="000323E6"/>
    <w:rsid w:val="00033C41"/>
    <w:rsid w:val="00036452"/>
    <w:rsid w:val="00036CF7"/>
    <w:rsid w:val="00037379"/>
    <w:rsid w:val="0004059A"/>
    <w:rsid w:val="00041749"/>
    <w:rsid w:val="0004221C"/>
    <w:rsid w:val="00042AB0"/>
    <w:rsid w:val="00043CBE"/>
    <w:rsid w:val="00044245"/>
    <w:rsid w:val="00045982"/>
    <w:rsid w:val="000503BB"/>
    <w:rsid w:val="00051011"/>
    <w:rsid w:val="00052094"/>
    <w:rsid w:val="00052637"/>
    <w:rsid w:val="00052983"/>
    <w:rsid w:val="00052D96"/>
    <w:rsid w:val="00053385"/>
    <w:rsid w:val="0005356A"/>
    <w:rsid w:val="000564C7"/>
    <w:rsid w:val="00056A49"/>
    <w:rsid w:val="0005756E"/>
    <w:rsid w:val="00057EA7"/>
    <w:rsid w:val="0006169D"/>
    <w:rsid w:val="00062F18"/>
    <w:rsid w:val="000638C3"/>
    <w:rsid w:val="00064773"/>
    <w:rsid w:val="00064D43"/>
    <w:rsid w:val="00064FB0"/>
    <w:rsid w:val="000657A8"/>
    <w:rsid w:val="000665D0"/>
    <w:rsid w:val="00067B64"/>
    <w:rsid w:val="000715BB"/>
    <w:rsid w:val="00072586"/>
    <w:rsid w:val="000729BF"/>
    <w:rsid w:val="00073890"/>
    <w:rsid w:val="00073FA0"/>
    <w:rsid w:val="00075B01"/>
    <w:rsid w:val="00076575"/>
    <w:rsid w:val="00080E4D"/>
    <w:rsid w:val="000823F3"/>
    <w:rsid w:val="0008413D"/>
    <w:rsid w:val="000856FE"/>
    <w:rsid w:val="00086481"/>
    <w:rsid w:val="00086D7C"/>
    <w:rsid w:val="000907FF"/>
    <w:rsid w:val="00090AF5"/>
    <w:rsid w:val="00092632"/>
    <w:rsid w:val="00093B98"/>
    <w:rsid w:val="00093BE0"/>
    <w:rsid w:val="0009440E"/>
    <w:rsid w:val="00094AD6"/>
    <w:rsid w:val="00095892"/>
    <w:rsid w:val="00095D03"/>
    <w:rsid w:val="000A03FF"/>
    <w:rsid w:val="000A0A69"/>
    <w:rsid w:val="000A0B2D"/>
    <w:rsid w:val="000A0E06"/>
    <w:rsid w:val="000A12CF"/>
    <w:rsid w:val="000A1B47"/>
    <w:rsid w:val="000A2F2C"/>
    <w:rsid w:val="000A37FF"/>
    <w:rsid w:val="000A4C44"/>
    <w:rsid w:val="000A58D9"/>
    <w:rsid w:val="000A6588"/>
    <w:rsid w:val="000A6C75"/>
    <w:rsid w:val="000A705C"/>
    <w:rsid w:val="000B1DBB"/>
    <w:rsid w:val="000B31A5"/>
    <w:rsid w:val="000B365F"/>
    <w:rsid w:val="000B4911"/>
    <w:rsid w:val="000B52AA"/>
    <w:rsid w:val="000B5A8D"/>
    <w:rsid w:val="000C12B8"/>
    <w:rsid w:val="000C1A98"/>
    <w:rsid w:val="000C215B"/>
    <w:rsid w:val="000C2264"/>
    <w:rsid w:val="000C2FF6"/>
    <w:rsid w:val="000C56A0"/>
    <w:rsid w:val="000C6C96"/>
    <w:rsid w:val="000C7DD1"/>
    <w:rsid w:val="000C7E6A"/>
    <w:rsid w:val="000D198C"/>
    <w:rsid w:val="000D3FBE"/>
    <w:rsid w:val="000D6B91"/>
    <w:rsid w:val="000D722E"/>
    <w:rsid w:val="000E0D44"/>
    <w:rsid w:val="000E122F"/>
    <w:rsid w:val="000E1B4F"/>
    <w:rsid w:val="000E1C87"/>
    <w:rsid w:val="000E3E9A"/>
    <w:rsid w:val="000E4F23"/>
    <w:rsid w:val="000E5686"/>
    <w:rsid w:val="000E5EC0"/>
    <w:rsid w:val="000E75D7"/>
    <w:rsid w:val="000E7A65"/>
    <w:rsid w:val="000F0A13"/>
    <w:rsid w:val="000F105B"/>
    <w:rsid w:val="000F1CA4"/>
    <w:rsid w:val="000F2682"/>
    <w:rsid w:val="000F2CC7"/>
    <w:rsid w:val="000F4286"/>
    <w:rsid w:val="000F43A7"/>
    <w:rsid w:val="000F6866"/>
    <w:rsid w:val="000F6F07"/>
    <w:rsid w:val="000F7AFB"/>
    <w:rsid w:val="00100B30"/>
    <w:rsid w:val="00100CCD"/>
    <w:rsid w:val="00100D89"/>
    <w:rsid w:val="001013BE"/>
    <w:rsid w:val="0010230C"/>
    <w:rsid w:val="001045A2"/>
    <w:rsid w:val="001049E9"/>
    <w:rsid w:val="00106657"/>
    <w:rsid w:val="00106E68"/>
    <w:rsid w:val="0011074E"/>
    <w:rsid w:val="00110B95"/>
    <w:rsid w:val="001131DA"/>
    <w:rsid w:val="001133D3"/>
    <w:rsid w:val="001134DD"/>
    <w:rsid w:val="00115804"/>
    <w:rsid w:val="001168B1"/>
    <w:rsid w:val="00116B5C"/>
    <w:rsid w:val="00117857"/>
    <w:rsid w:val="00120083"/>
    <w:rsid w:val="001221F3"/>
    <w:rsid w:val="00122306"/>
    <w:rsid w:val="0012274E"/>
    <w:rsid w:val="00123B71"/>
    <w:rsid w:val="001245A4"/>
    <w:rsid w:val="00126EEE"/>
    <w:rsid w:val="001303EB"/>
    <w:rsid w:val="00132B64"/>
    <w:rsid w:val="001368AD"/>
    <w:rsid w:val="00136ABF"/>
    <w:rsid w:val="00136E16"/>
    <w:rsid w:val="00136E96"/>
    <w:rsid w:val="00137E89"/>
    <w:rsid w:val="0014150E"/>
    <w:rsid w:val="00143203"/>
    <w:rsid w:val="00143825"/>
    <w:rsid w:val="00144418"/>
    <w:rsid w:val="00144E4D"/>
    <w:rsid w:val="00146AC3"/>
    <w:rsid w:val="00153714"/>
    <w:rsid w:val="00153F58"/>
    <w:rsid w:val="00154B0E"/>
    <w:rsid w:val="00154B62"/>
    <w:rsid w:val="00154CDE"/>
    <w:rsid w:val="00154E51"/>
    <w:rsid w:val="00155349"/>
    <w:rsid w:val="0015639F"/>
    <w:rsid w:val="001567B7"/>
    <w:rsid w:val="00156992"/>
    <w:rsid w:val="00157E3C"/>
    <w:rsid w:val="00161D6A"/>
    <w:rsid w:val="00161E97"/>
    <w:rsid w:val="00162D7C"/>
    <w:rsid w:val="00164C79"/>
    <w:rsid w:val="0016533F"/>
    <w:rsid w:val="0016547C"/>
    <w:rsid w:val="00165D99"/>
    <w:rsid w:val="0016634F"/>
    <w:rsid w:val="00167E4C"/>
    <w:rsid w:val="001708F5"/>
    <w:rsid w:val="0017249E"/>
    <w:rsid w:val="00173180"/>
    <w:rsid w:val="00173D97"/>
    <w:rsid w:val="00173FBB"/>
    <w:rsid w:val="00175A6B"/>
    <w:rsid w:val="001760FC"/>
    <w:rsid w:val="001762E6"/>
    <w:rsid w:val="001763AC"/>
    <w:rsid w:val="00176647"/>
    <w:rsid w:val="00177239"/>
    <w:rsid w:val="00180FAD"/>
    <w:rsid w:val="00184205"/>
    <w:rsid w:val="00184299"/>
    <w:rsid w:val="00184717"/>
    <w:rsid w:val="001870E1"/>
    <w:rsid w:val="0018722C"/>
    <w:rsid w:val="0018741B"/>
    <w:rsid w:val="00190B68"/>
    <w:rsid w:val="00193B7F"/>
    <w:rsid w:val="00193CA6"/>
    <w:rsid w:val="00196E8E"/>
    <w:rsid w:val="001977D5"/>
    <w:rsid w:val="001A0B51"/>
    <w:rsid w:val="001A1135"/>
    <w:rsid w:val="001A1142"/>
    <w:rsid w:val="001A23B5"/>
    <w:rsid w:val="001A2BD6"/>
    <w:rsid w:val="001A2D5E"/>
    <w:rsid w:val="001A2DA5"/>
    <w:rsid w:val="001A37EF"/>
    <w:rsid w:val="001A497B"/>
    <w:rsid w:val="001A5D0F"/>
    <w:rsid w:val="001A6164"/>
    <w:rsid w:val="001A6A78"/>
    <w:rsid w:val="001A7202"/>
    <w:rsid w:val="001B13A4"/>
    <w:rsid w:val="001C023A"/>
    <w:rsid w:val="001C1424"/>
    <w:rsid w:val="001C17B1"/>
    <w:rsid w:val="001C37E6"/>
    <w:rsid w:val="001C5B27"/>
    <w:rsid w:val="001C5C06"/>
    <w:rsid w:val="001C5E37"/>
    <w:rsid w:val="001D3125"/>
    <w:rsid w:val="001D3BBE"/>
    <w:rsid w:val="001D5269"/>
    <w:rsid w:val="001D5D69"/>
    <w:rsid w:val="001D5E68"/>
    <w:rsid w:val="001D7472"/>
    <w:rsid w:val="001E120C"/>
    <w:rsid w:val="001E13C5"/>
    <w:rsid w:val="001E15A3"/>
    <w:rsid w:val="001E1DD5"/>
    <w:rsid w:val="001E2319"/>
    <w:rsid w:val="001E32B0"/>
    <w:rsid w:val="001E3869"/>
    <w:rsid w:val="001E3D7F"/>
    <w:rsid w:val="001E4C86"/>
    <w:rsid w:val="001E65EB"/>
    <w:rsid w:val="001E6EE9"/>
    <w:rsid w:val="001E7732"/>
    <w:rsid w:val="001F087B"/>
    <w:rsid w:val="001F136E"/>
    <w:rsid w:val="001F16B5"/>
    <w:rsid w:val="001F2EE9"/>
    <w:rsid w:val="001F4C78"/>
    <w:rsid w:val="001F5BAA"/>
    <w:rsid w:val="001F6C82"/>
    <w:rsid w:val="00201E2E"/>
    <w:rsid w:val="00202209"/>
    <w:rsid w:val="00202BBB"/>
    <w:rsid w:val="0020322D"/>
    <w:rsid w:val="0020352A"/>
    <w:rsid w:val="00203865"/>
    <w:rsid w:val="00204BDF"/>
    <w:rsid w:val="002073E0"/>
    <w:rsid w:val="00207937"/>
    <w:rsid w:val="00211BB3"/>
    <w:rsid w:val="00211BDC"/>
    <w:rsid w:val="00212031"/>
    <w:rsid w:val="00212FD1"/>
    <w:rsid w:val="0021361E"/>
    <w:rsid w:val="00214EE5"/>
    <w:rsid w:val="002153DA"/>
    <w:rsid w:val="002200C6"/>
    <w:rsid w:val="0022095A"/>
    <w:rsid w:val="002211A1"/>
    <w:rsid w:val="00222073"/>
    <w:rsid w:val="00222521"/>
    <w:rsid w:val="00222917"/>
    <w:rsid w:val="00222B47"/>
    <w:rsid w:val="00225B07"/>
    <w:rsid w:val="00225E3D"/>
    <w:rsid w:val="00226F50"/>
    <w:rsid w:val="00230083"/>
    <w:rsid w:val="002300E9"/>
    <w:rsid w:val="0023218E"/>
    <w:rsid w:val="002330E4"/>
    <w:rsid w:val="00233FC3"/>
    <w:rsid w:val="00234C73"/>
    <w:rsid w:val="00235A23"/>
    <w:rsid w:val="002364B9"/>
    <w:rsid w:val="002374F4"/>
    <w:rsid w:val="002408E1"/>
    <w:rsid w:val="0024096D"/>
    <w:rsid w:val="00241A1D"/>
    <w:rsid w:val="00243B34"/>
    <w:rsid w:val="002441D0"/>
    <w:rsid w:val="002449A3"/>
    <w:rsid w:val="00244BAD"/>
    <w:rsid w:val="0025070A"/>
    <w:rsid w:val="0025176C"/>
    <w:rsid w:val="00252ED6"/>
    <w:rsid w:val="0025302D"/>
    <w:rsid w:val="002530E4"/>
    <w:rsid w:val="00253368"/>
    <w:rsid w:val="00255F31"/>
    <w:rsid w:val="002561DD"/>
    <w:rsid w:val="0025665F"/>
    <w:rsid w:val="00256AB4"/>
    <w:rsid w:val="00256E55"/>
    <w:rsid w:val="0026027C"/>
    <w:rsid w:val="00260F4F"/>
    <w:rsid w:val="00262474"/>
    <w:rsid w:val="0026275D"/>
    <w:rsid w:val="00263E3D"/>
    <w:rsid w:val="00264EFE"/>
    <w:rsid w:val="002666F1"/>
    <w:rsid w:val="00267FB7"/>
    <w:rsid w:val="00270796"/>
    <w:rsid w:val="00272EA8"/>
    <w:rsid w:val="00273FC2"/>
    <w:rsid w:val="0027485E"/>
    <w:rsid w:val="00276576"/>
    <w:rsid w:val="00277F42"/>
    <w:rsid w:val="002813E2"/>
    <w:rsid w:val="002827B6"/>
    <w:rsid w:val="00282D8B"/>
    <w:rsid w:val="00283E5E"/>
    <w:rsid w:val="00285E47"/>
    <w:rsid w:val="00290138"/>
    <w:rsid w:val="0029481F"/>
    <w:rsid w:val="00296533"/>
    <w:rsid w:val="00297A38"/>
    <w:rsid w:val="002A0E30"/>
    <w:rsid w:val="002A21AD"/>
    <w:rsid w:val="002A3C1A"/>
    <w:rsid w:val="002A3F9D"/>
    <w:rsid w:val="002A400A"/>
    <w:rsid w:val="002A5227"/>
    <w:rsid w:val="002A587D"/>
    <w:rsid w:val="002A6284"/>
    <w:rsid w:val="002A6D68"/>
    <w:rsid w:val="002A7722"/>
    <w:rsid w:val="002A78FA"/>
    <w:rsid w:val="002A7CC2"/>
    <w:rsid w:val="002B1BD8"/>
    <w:rsid w:val="002B5256"/>
    <w:rsid w:val="002B59F5"/>
    <w:rsid w:val="002B7A46"/>
    <w:rsid w:val="002C0728"/>
    <w:rsid w:val="002C0A78"/>
    <w:rsid w:val="002C0B95"/>
    <w:rsid w:val="002C294C"/>
    <w:rsid w:val="002C5027"/>
    <w:rsid w:val="002C6785"/>
    <w:rsid w:val="002C6C60"/>
    <w:rsid w:val="002C6D35"/>
    <w:rsid w:val="002C7915"/>
    <w:rsid w:val="002D1E62"/>
    <w:rsid w:val="002D21C2"/>
    <w:rsid w:val="002D297F"/>
    <w:rsid w:val="002D3C93"/>
    <w:rsid w:val="002D3DC6"/>
    <w:rsid w:val="002D3E3B"/>
    <w:rsid w:val="002D51C9"/>
    <w:rsid w:val="002D5472"/>
    <w:rsid w:val="002D67A7"/>
    <w:rsid w:val="002D67E3"/>
    <w:rsid w:val="002E1A11"/>
    <w:rsid w:val="002E2ECC"/>
    <w:rsid w:val="002E3B34"/>
    <w:rsid w:val="002E6370"/>
    <w:rsid w:val="002E7EF8"/>
    <w:rsid w:val="002F0E58"/>
    <w:rsid w:val="002F3AC8"/>
    <w:rsid w:val="002F50DA"/>
    <w:rsid w:val="002F6192"/>
    <w:rsid w:val="002F67C9"/>
    <w:rsid w:val="002F744A"/>
    <w:rsid w:val="00300106"/>
    <w:rsid w:val="003001CC"/>
    <w:rsid w:val="00300BAD"/>
    <w:rsid w:val="00300F5D"/>
    <w:rsid w:val="00301942"/>
    <w:rsid w:val="00301C8D"/>
    <w:rsid w:val="00302805"/>
    <w:rsid w:val="003028D6"/>
    <w:rsid w:val="0030392A"/>
    <w:rsid w:val="00303E67"/>
    <w:rsid w:val="00304168"/>
    <w:rsid w:val="00305157"/>
    <w:rsid w:val="0030590B"/>
    <w:rsid w:val="00305CE0"/>
    <w:rsid w:val="00305EDC"/>
    <w:rsid w:val="0030629E"/>
    <w:rsid w:val="003062DF"/>
    <w:rsid w:val="00306597"/>
    <w:rsid w:val="003105AB"/>
    <w:rsid w:val="0031258D"/>
    <w:rsid w:val="00312774"/>
    <w:rsid w:val="0031285B"/>
    <w:rsid w:val="00313B82"/>
    <w:rsid w:val="003153E8"/>
    <w:rsid w:val="00316207"/>
    <w:rsid w:val="00316437"/>
    <w:rsid w:val="00316758"/>
    <w:rsid w:val="00316A4B"/>
    <w:rsid w:val="0031749C"/>
    <w:rsid w:val="00322325"/>
    <w:rsid w:val="00323664"/>
    <w:rsid w:val="00326D1A"/>
    <w:rsid w:val="00327371"/>
    <w:rsid w:val="00330BF1"/>
    <w:rsid w:val="003316F7"/>
    <w:rsid w:val="00332DD7"/>
    <w:rsid w:val="003344A8"/>
    <w:rsid w:val="003358DC"/>
    <w:rsid w:val="00336D22"/>
    <w:rsid w:val="003374BC"/>
    <w:rsid w:val="00337FF0"/>
    <w:rsid w:val="00340FA1"/>
    <w:rsid w:val="00342116"/>
    <w:rsid w:val="003434FD"/>
    <w:rsid w:val="00343A83"/>
    <w:rsid w:val="003441FE"/>
    <w:rsid w:val="00344F4A"/>
    <w:rsid w:val="003511A2"/>
    <w:rsid w:val="00351C50"/>
    <w:rsid w:val="00351D51"/>
    <w:rsid w:val="00351E58"/>
    <w:rsid w:val="003524B5"/>
    <w:rsid w:val="00352BB1"/>
    <w:rsid w:val="00354915"/>
    <w:rsid w:val="00354D0F"/>
    <w:rsid w:val="003551DB"/>
    <w:rsid w:val="00355663"/>
    <w:rsid w:val="003561F6"/>
    <w:rsid w:val="003573CC"/>
    <w:rsid w:val="003601EA"/>
    <w:rsid w:val="00363292"/>
    <w:rsid w:val="003632F4"/>
    <w:rsid w:val="00363402"/>
    <w:rsid w:val="00363911"/>
    <w:rsid w:val="00364CBD"/>
    <w:rsid w:val="003651B3"/>
    <w:rsid w:val="00365D9A"/>
    <w:rsid w:val="003713EC"/>
    <w:rsid w:val="00372071"/>
    <w:rsid w:val="0037214A"/>
    <w:rsid w:val="003721B8"/>
    <w:rsid w:val="003726BC"/>
    <w:rsid w:val="0037283C"/>
    <w:rsid w:val="003735D0"/>
    <w:rsid w:val="00374F44"/>
    <w:rsid w:val="00374F6F"/>
    <w:rsid w:val="00376488"/>
    <w:rsid w:val="003767FE"/>
    <w:rsid w:val="00376E4E"/>
    <w:rsid w:val="0038123F"/>
    <w:rsid w:val="003825C1"/>
    <w:rsid w:val="00383885"/>
    <w:rsid w:val="00384742"/>
    <w:rsid w:val="003847E3"/>
    <w:rsid w:val="00384DD1"/>
    <w:rsid w:val="003857BD"/>
    <w:rsid w:val="00387B16"/>
    <w:rsid w:val="00390064"/>
    <w:rsid w:val="0039238D"/>
    <w:rsid w:val="0039353F"/>
    <w:rsid w:val="0039400C"/>
    <w:rsid w:val="003942FD"/>
    <w:rsid w:val="003956A4"/>
    <w:rsid w:val="003957EA"/>
    <w:rsid w:val="00397C33"/>
    <w:rsid w:val="003A0F9A"/>
    <w:rsid w:val="003A10AA"/>
    <w:rsid w:val="003A1C54"/>
    <w:rsid w:val="003A200F"/>
    <w:rsid w:val="003A28CB"/>
    <w:rsid w:val="003A3205"/>
    <w:rsid w:val="003A421B"/>
    <w:rsid w:val="003A4315"/>
    <w:rsid w:val="003A4525"/>
    <w:rsid w:val="003A5D9E"/>
    <w:rsid w:val="003B0024"/>
    <w:rsid w:val="003B003B"/>
    <w:rsid w:val="003B0355"/>
    <w:rsid w:val="003B2550"/>
    <w:rsid w:val="003B2931"/>
    <w:rsid w:val="003B5718"/>
    <w:rsid w:val="003B7EB4"/>
    <w:rsid w:val="003C0086"/>
    <w:rsid w:val="003C029D"/>
    <w:rsid w:val="003C0656"/>
    <w:rsid w:val="003C128E"/>
    <w:rsid w:val="003C134C"/>
    <w:rsid w:val="003C1507"/>
    <w:rsid w:val="003C23AE"/>
    <w:rsid w:val="003C273D"/>
    <w:rsid w:val="003C276C"/>
    <w:rsid w:val="003C3D16"/>
    <w:rsid w:val="003C51AA"/>
    <w:rsid w:val="003C5459"/>
    <w:rsid w:val="003C69E5"/>
    <w:rsid w:val="003C7FCD"/>
    <w:rsid w:val="003D022A"/>
    <w:rsid w:val="003D0B3B"/>
    <w:rsid w:val="003D0FF3"/>
    <w:rsid w:val="003D1047"/>
    <w:rsid w:val="003D1F2A"/>
    <w:rsid w:val="003D2EA9"/>
    <w:rsid w:val="003D49A8"/>
    <w:rsid w:val="003D4DB9"/>
    <w:rsid w:val="003D5546"/>
    <w:rsid w:val="003D673F"/>
    <w:rsid w:val="003D67F7"/>
    <w:rsid w:val="003D71EA"/>
    <w:rsid w:val="003D7590"/>
    <w:rsid w:val="003E0A15"/>
    <w:rsid w:val="003E14F4"/>
    <w:rsid w:val="003E15DB"/>
    <w:rsid w:val="003E3313"/>
    <w:rsid w:val="003E339D"/>
    <w:rsid w:val="003E39AC"/>
    <w:rsid w:val="003E3E42"/>
    <w:rsid w:val="003E4055"/>
    <w:rsid w:val="003E497F"/>
    <w:rsid w:val="003E4D46"/>
    <w:rsid w:val="003E55ED"/>
    <w:rsid w:val="003E6F81"/>
    <w:rsid w:val="003E7484"/>
    <w:rsid w:val="003F038E"/>
    <w:rsid w:val="003F0A6B"/>
    <w:rsid w:val="003F1814"/>
    <w:rsid w:val="003F3D05"/>
    <w:rsid w:val="003F3F28"/>
    <w:rsid w:val="003F4465"/>
    <w:rsid w:val="003F4B31"/>
    <w:rsid w:val="003F50EB"/>
    <w:rsid w:val="003F5AC3"/>
    <w:rsid w:val="003F6B9D"/>
    <w:rsid w:val="004024F3"/>
    <w:rsid w:val="00402643"/>
    <w:rsid w:val="00403073"/>
    <w:rsid w:val="004035B4"/>
    <w:rsid w:val="00403D4F"/>
    <w:rsid w:val="004046E9"/>
    <w:rsid w:val="0040499E"/>
    <w:rsid w:val="00412B23"/>
    <w:rsid w:val="004136F8"/>
    <w:rsid w:val="0041382E"/>
    <w:rsid w:val="00414C18"/>
    <w:rsid w:val="004151C6"/>
    <w:rsid w:val="00415851"/>
    <w:rsid w:val="004159A6"/>
    <w:rsid w:val="0041685A"/>
    <w:rsid w:val="00420C66"/>
    <w:rsid w:val="004220B3"/>
    <w:rsid w:val="0042355B"/>
    <w:rsid w:val="004254FF"/>
    <w:rsid w:val="00426A05"/>
    <w:rsid w:val="00430499"/>
    <w:rsid w:val="004307F5"/>
    <w:rsid w:val="004315BA"/>
    <w:rsid w:val="0043261B"/>
    <w:rsid w:val="00433B93"/>
    <w:rsid w:val="00433EDD"/>
    <w:rsid w:val="004340A6"/>
    <w:rsid w:val="00434EBF"/>
    <w:rsid w:val="00435088"/>
    <w:rsid w:val="00435E2F"/>
    <w:rsid w:val="00436831"/>
    <w:rsid w:val="00436D6C"/>
    <w:rsid w:val="00436EC0"/>
    <w:rsid w:val="00437960"/>
    <w:rsid w:val="00437AEA"/>
    <w:rsid w:val="0044132D"/>
    <w:rsid w:val="00441BC7"/>
    <w:rsid w:val="00441C6A"/>
    <w:rsid w:val="0044248B"/>
    <w:rsid w:val="00444097"/>
    <w:rsid w:val="004462B5"/>
    <w:rsid w:val="00447205"/>
    <w:rsid w:val="004474DE"/>
    <w:rsid w:val="00450B21"/>
    <w:rsid w:val="00451937"/>
    <w:rsid w:val="004528B8"/>
    <w:rsid w:val="004538F2"/>
    <w:rsid w:val="00453F71"/>
    <w:rsid w:val="00454EC8"/>
    <w:rsid w:val="004607DF"/>
    <w:rsid w:val="00461337"/>
    <w:rsid w:val="00462F7F"/>
    <w:rsid w:val="004633CA"/>
    <w:rsid w:val="004647E1"/>
    <w:rsid w:val="00464DCE"/>
    <w:rsid w:val="00467B2B"/>
    <w:rsid w:val="00471458"/>
    <w:rsid w:val="00471D0C"/>
    <w:rsid w:val="00472550"/>
    <w:rsid w:val="00473175"/>
    <w:rsid w:val="00473B3F"/>
    <w:rsid w:val="00475100"/>
    <w:rsid w:val="0047569A"/>
    <w:rsid w:val="00475CF3"/>
    <w:rsid w:val="0047671B"/>
    <w:rsid w:val="00476B00"/>
    <w:rsid w:val="004802DF"/>
    <w:rsid w:val="004820E6"/>
    <w:rsid w:val="00482BA0"/>
    <w:rsid w:val="00483151"/>
    <w:rsid w:val="0048422A"/>
    <w:rsid w:val="00484BEC"/>
    <w:rsid w:val="00485B3A"/>
    <w:rsid w:val="004861B2"/>
    <w:rsid w:val="004864E6"/>
    <w:rsid w:val="00487757"/>
    <w:rsid w:val="004918F5"/>
    <w:rsid w:val="00491B65"/>
    <w:rsid w:val="004925E8"/>
    <w:rsid w:val="0049480A"/>
    <w:rsid w:val="00495C12"/>
    <w:rsid w:val="00497D20"/>
    <w:rsid w:val="004A041E"/>
    <w:rsid w:val="004A181B"/>
    <w:rsid w:val="004A27CC"/>
    <w:rsid w:val="004A3D1C"/>
    <w:rsid w:val="004A4723"/>
    <w:rsid w:val="004A4AF4"/>
    <w:rsid w:val="004A5275"/>
    <w:rsid w:val="004A5468"/>
    <w:rsid w:val="004A5536"/>
    <w:rsid w:val="004A5E73"/>
    <w:rsid w:val="004A620B"/>
    <w:rsid w:val="004A62FB"/>
    <w:rsid w:val="004A6621"/>
    <w:rsid w:val="004A7702"/>
    <w:rsid w:val="004B08D7"/>
    <w:rsid w:val="004B2ABD"/>
    <w:rsid w:val="004B2D24"/>
    <w:rsid w:val="004B34FC"/>
    <w:rsid w:val="004B37A1"/>
    <w:rsid w:val="004B5906"/>
    <w:rsid w:val="004B5A02"/>
    <w:rsid w:val="004B61FC"/>
    <w:rsid w:val="004B644F"/>
    <w:rsid w:val="004B655C"/>
    <w:rsid w:val="004B7059"/>
    <w:rsid w:val="004C217A"/>
    <w:rsid w:val="004C2191"/>
    <w:rsid w:val="004C269D"/>
    <w:rsid w:val="004C308F"/>
    <w:rsid w:val="004C3B3D"/>
    <w:rsid w:val="004C4581"/>
    <w:rsid w:val="004C6A85"/>
    <w:rsid w:val="004C6D03"/>
    <w:rsid w:val="004D03B6"/>
    <w:rsid w:val="004D1BBD"/>
    <w:rsid w:val="004D276C"/>
    <w:rsid w:val="004D56BC"/>
    <w:rsid w:val="004D68D4"/>
    <w:rsid w:val="004E04A3"/>
    <w:rsid w:val="004E07CE"/>
    <w:rsid w:val="004E1D72"/>
    <w:rsid w:val="004E2A1D"/>
    <w:rsid w:val="004E2A9A"/>
    <w:rsid w:val="004E337E"/>
    <w:rsid w:val="004E4CC3"/>
    <w:rsid w:val="004E4E89"/>
    <w:rsid w:val="004E6A65"/>
    <w:rsid w:val="004E6BBA"/>
    <w:rsid w:val="004E6DE9"/>
    <w:rsid w:val="004E73A5"/>
    <w:rsid w:val="004E7663"/>
    <w:rsid w:val="004F0155"/>
    <w:rsid w:val="004F11C3"/>
    <w:rsid w:val="004F1800"/>
    <w:rsid w:val="004F23F6"/>
    <w:rsid w:val="004F3D8E"/>
    <w:rsid w:val="004F495C"/>
    <w:rsid w:val="004F5C26"/>
    <w:rsid w:val="004F63E8"/>
    <w:rsid w:val="004F6E77"/>
    <w:rsid w:val="004F745C"/>
    <w:rsid w:val="00501C17"/>
    <w:rsid w:val="0050312F"/>
    <w:rsid w:val="00504A4D"/>
    <w:rsid w:val="005077FA"/>
    <w:rsid w:val="00507C93"/>
    <w:rsid w:val="00510227"/>
    <w:rsid w:val="00510D24"/>
    <w:rsid w:val="00512339"/>
    <w:rsid w:val="005126A6"/>
    <w:rsid w:val="00513B54"/>
    <w:rsid w:val="005155FC"/>
    <w:rsid w:val="0051573A"/>
    <w:rsid w:val="0051636C"/>
    <w:rsid w:val="00517B68"/>
    <w:rsid w:val="00521FF2"/>
    <w:rsid w:val="0052266E"/>
    <w:rsid w:val="005234F5"/>
    <w:rsid w:val="00523AC6"/>
    <w:rsid w:val="00524F84"/>
    <w:rsid w:val="00525B13"/>
    <w:rsid w:val="00530BB0"/>
    <w:rsid w:val="0053135F"/>
    <w:rsid w:val="005313F1"/>
    <w:rsid w:val="005317F1"/>
    <w:rsid w:val="0053204C"/>
    <w:rsid w:val="00532F4E"/>
    <w:rsid w:val="00533130"/>
    <w:rsid w:val="00534135"/>
    <w:rsid w:val="00534520"/>
    <w:rsid w:val="005359A2"/>
    <w:rsid w:val="00536448"/>
    <w:rsid w:val="00536E21"/>
    <w:rsid w:val="00541318"/>
    <w:rsid w:val="00542565"/>
    <w:rsid w:val="00542861"/>
    <w:rsid w:val="00542DB2"/>
    <w:rsid w:val="00544823"/>
    <w:rsid w:val="00546AB3"/>
    <w:rsid w:val="005517FC"/>
    <w:rsid w:val="0055244C"/>
    <w:rsid w:val="00552CF8"/>
    <w:rsid w:val="00554205"/>
    <w:rsid w:val="005554D5"/>
    <w:rsid w:val="00555E35"/>
    <w:rsid w:val="00556434"/>
    <w:rsid w:val="0055689A"/>
    <w:rsid w:val="00556FAB"/>
    <w:rsid w:val="00561EB5"/>
    <w:rsid w:val="00563B22"/>
    <w:rsid w:val="00563D0E"/>
    <w:rsid w:val="00563DE8"/>
    <w:rsid w:val="00564F51"/>
    <w:rsid w:val="00570620"/>
    <w:rsid w:val="0057097B"/>
    <w:rsid w:val="00570C82"/>
    <w:rsid w:val="005717DD"/>
    <w:rsid w:val="0057329D"/>
    <w:rsid w:val="00575E9D"/>
    <w:rsid w:val="005761AA"/>
    <w:rsid w:val="0057671B"/>
    <w:rsid w:val="0057681F"/>
    <w:rsid w:val="005808BB"/>
    <w:rsid w:val="00580C4E"/>
    <w:rsid w:val="005810B8"/>
    <w:rsid w:val="00581155"/>
    <w:rsid w:val="005813AF"/>
    <w:rsid w:val="005819E9"/>
    <w:rsid w:val="005823D1"/>
    <w:rsid w:val="00582BA3"/>
    <w:rsid w:val="00582D2B"/>
    <w:rsid w:val="00583168"/>
    <w:rsid w:val="0058566C"/>
    <w:rsid w:val="005856BB"/>
    <w:rsid w:val="005857B1"/>
    <w:rsid w:val="00585DC1"/>
    <w:rsid w:val="00587599"/>
    <w:rsid w:val="0059119E"/>
    <w:rsid w:val="00593CD4"/>
    <w:rsid w:val="00595464"/>
    <w:rsid w:val="005960F0"/>
    <w:rsid w:val="00596331"/>
    <w:rsid w:val="0059655D"/>
    <w:rsid w:val="00597867"/>
    <w:rsid w:val="00597E34"/>
    <w:rsid w:val="005A32E1"/>
    <w:rsid w:val="005A347E"/>
    <w:rsid w:val="005A3A0F"/>
    <w:rsid w:val="005A4450"/>
    <w:rsid w:val="005A47A5"/>
    <w:rsid w:val="005A4E99"/>
    <w:rsid w:val="005A560D"/>
    <w:rsid w:val="005A6D4F"/>
    <w:rsid w:val="005B1CAF"/>
    <w:rsid w:val="005B3C12"/>
    <w:rsid w:val="005B5E03"/>
    <w:rsid w:val="005B615E"/>
    <w:rsid w:val="005B67A6"/>
    <w:rsid w:val="005B6DA6"/>
    <w:rsid w:val="005C3677"/>
    <w:rsid w:val="005C36A0"/>
    <w:rsid w:val="005C5020"/>
    <w:rsid w:val="005C5275"/>
    <w:rsid w:val="005C5F87"/>
    <w:rsid w:val="005C7F71"/>
    <w:rsid w:val="005D0788"/>
    <w:rsid w:val="005D1CDB"/>
    <w:rsid w:val="005D20C1"/>
    <w:rsid w:val="005D21CC"/>
    <w:rsid w:val="005D29C6"/>
    <w:rsid w:val="005D4277"/>
    <w:rsid w:val="005D57A7"/>
    <w:rsid w:val="005D62C7"/>
    <w:rsid w:val="005D6C25"/>
    <w:rsid w:val="005D7C28"/>
    <w:rsid w:val="005E1442"/>
    <w:rsid w:val="005E238C"/>
    <w:rsid w:val="005E3F5B"/>
    <w:rsid w:val="005E4444"/>
    <w:rsid w:val="005E447F"/>
    <w:rsid w:val="005E4C5F"/>
    <w:rsid w:val="005E72DA"/>
    <w:rsid w:val="005E73B0"/>
    <w:rsid w:val="005E775C"/>
    <w:rsid w:val="005F13E0"/>
    <w:rsid w:val="005F1578"/>
    <w:rsid w:val="005F29B5"/>
    <w:rsid w:val="005F3DE6"/>
    <w:rsid w:val="005F430C"/>
    <w:rsid w:val="005F5A44"/>
    <w:rsid w:val="005F79BE"/>
    <w:rsid w:val="00600264"/>
    <w:rsid w:val="00600284"/>
    <w:rsid w:val="006002B8"/>
    <w:rsid w:val="00602CB2"/>
    <w:rsid w:val="00603B09"/>
    <w:rsid w:val="00604337"/>
    <w:rsid w:val="00605187"/>
    <w:rsid w:val="00605E22"/>
    <w:rsid w:val="00607B60"/>
    <w:rsid w:val="006105CD"/>
    <w:rsid w:val="00610E40"/>
    <w:rsid w:val="006116D5"/>
    <w:rsid w:val="00611B78"/>
    <w:rsid w:val="00611BFB"/>
    <w:rsid w:val="00612598"/>
    <w:rsid w:val="0061411C"/>
    <w:rsid w:val="00614A08"/>
    <w:rsid w:val="0061532D"/>
    <w:rsid w:val="00615929"/>
    <w:rsid w:val="0061700E"/>
    <w:rsid w:val="00617593"/>
    <w:rsid w:val="00617FD9"/>
    <w:rsid w:val="00620381"/>
    <w:rsid w:val="00620BCD"/>
    <w:rsid w:val="00621712"/>
    <w:rsid w:val="00621A50"/>
    <w:rsid w:val="00622624"/>
    <w:rsid w:val="00622F0B"/>
    <w:rsid w:val="0062362A"/>
    <w:rsid w:val="00623798"/>
    <w:rsid w:val="00623AE6"/>
    <w:rsid w:val="00625F25"/>
    <w:rsid w:val="00627233"/>
    <w:rsid w:val="0062748D"/>
    <w:rsid w:val="00627799"/>
    <w:rsid w:val="00630777"/>
    <w:rsid w:val="00632302"/>
    <w:rsid w:val="00632D6B"/>
    <w:rsid w:val="00634476"/>
    <w:rsid w:val="0063662C"/>
    <w:rsid w:val="00636B98"/>
    <w:rsid w:val="00636FFF"/>
    <w:rsid w:val="00637007"/>
    <w:rsid w:val="006416A0"/>
    <w:rsid w:val="006422CF"/>
    <w:rsid w:val="0064545B"/>
    <w:rsid w:val="00645C98"/>
    <w:rsid w:val="00647A0F"/>
    <w:rsid w:val="00647F9E"/>
    <w:rsid w:val="00650C20"/>
    <w:rsid w:val="00651A18"/>
    <w:rsid w:val="00651B14"/>
    <w:rsid w:val="00653A59"/>
    <w:rsid w:val="00653C96"/>
    <w:rsid w:val="006558C1"/>
    <w:rsid w:val="00655EF2"/>
    <w:rsid w:val="006565ED"/>
    <w:rsid w:val="0065722B"/>
    <w:rsid w:val="00661227"/>
    <w:rsid w:val="00661344"/>
    <w:rsid w:val="00662744"/>
    <w:rsid w:val="00662AF8"/>
    <w:rsid w:val="006633B1"/>
    <w:rsid w:val="0066361B"/>
    <w:rsid w:val="006652C2"/>
    <w:rsid w:val="0066561B"/>
    <w:rsid w:val="00665F32"/>
    <w:rsid w:val="00670635"/>
    <w:rsid w:val="006748EF"/>
    <w:rsid w:val="00675552"/>
    <w:rsid w:val="00675B29"/>
    <w:rsid w:val="0067611E"/>
    <w:rsid w:val="0067631E"/>
    <w:rsid w:val="0067686C"/>
    <w:rsid w:val="00677AEF"/>
    <w:rsid w:val="00677E0E"/>
    <w:rsid w:val="0068033E"/>
    <w:rsid w:val="00680A64"/>
    <w:rsid w:val="006834A3"/>
    <w:rsid w:val="0068389B"/>
    <w:rsid w:val="006844C2"/>
    <w:rsid w:val="006844F7"/>
    <w:rsid w:val="00685C0B"/>
    <w:rsid w:val="00686A97"/>
    <w:rsid w:val="00690FD3"/>
    <w:rsid w:val="006920F6"/>
    <w:rsid w:val="0069222E"/>
    <w:rsid w:val="00693DB9"/>
    <w:rsid w:val="00694150"/>
    <w:rsid w:val="006A0826"/>
    <w:rsid w:val="006A2244"/>
    <w:rsid w:val="006A2386"/>
    <w:rsid w:val="006A3D2F"/>
    <w:rsid w:val="006A515D"/>
    <w:rsid w:val="006A6F50"/>
    <w:rsid w:val="006A7C65"/>
    <w:rsid w:val="006B08F0"/>
    <w:rsid w:val="006B0A15"/>
    <w:rsid w:val="006B14F6"/>
    <w:rsid w:val="006B2B33"/>
    <w:rsid w:val="006B3E53"/>
    <w:rsid w:val="006B5191"/>
    <w:rsid w:val="006B58AD"/>
    <w:rsid w:val="006B5988"/>
    <w:rsid w:val="006B59B1"/>
    <w:rsid w:val="006B5C0F"/>
    <w:rsid w:val="006B5FF2"/>
    <w:rsid w:val="006B61F0"/>
    <w:rsid w:val="006B64E3"/>
    <w:rsid w:val="006B6CFA"/>
    <w:rsid w:val="006B74D1"/>
    <w:rsid w:val="006C19D2"/>
    <w:rsid w:val="006C1AAB"/>
    <w:rsid w:val="006C225B"/>
    <w:rsid w:val="006C3A15"/>
    <w:rsid w:val="006C4132"/>
    <w:rsid w:val="006C58C8"/>
    <w:rsid w:val="006C5BEC"/>
    <w:rsid w:val="006C5E79"/>
    <w:rsid w:val="006C677C"/>
    <w:rsid w:val="006C705B"/>
    <w:rsid w:val="006C7A1E"/>
    <w:rsid w:val="006D047A"/>
    <w:rsid w:val="006D05C6"/>
    <w:rsid w:val="006D0993"/>
    <w:rsid w:val="006D1457"/>
    <w:rsid w:val="006D1694"/>
    <w:rsid w:val="006D16A8"/>
    <w:rsid w:val="006D225F"/>
    <w:rsid w:val="006D452A"/>
    <w:rsid w:val="006D5641"/>
    <w:rsid w:val="006D7B0E"/>
    <w:rsid w:val="006D7C51"/>
    <w:rsid w:val="006E08B5"/>
    <w:rsid w:val="006E13F8"/>
    <w:rsid w:val="006E21C7"/>
    <w:rsid w:val="006E36F8"/>
    <w:rsid w:val="006E4FA3"/>
    <w:rsid w:val="006E5333"/>
    <w:rsid w:val="006E6CA8"/>
    <w:rsid w:val="006E7B94"/>
    <w:rsid w:val="006F01C6"/>
    <w:rsid w:val="006F1835"/>
    <w:rsid w:val="006F2DC2"/>
    <w:rsid w:val="006F2DE7"/>
    <w:rsid w:val="006F3D86"/>
    <w:rsid w:val="006F501B"/>
    <w:rsid w:val="00700BDC"/>
    <w:rsid w:val="007032C9"/>
    <w:rsid w:val="007038D6"/>
    <w:rsid w:val="00704E82"/>
    <w:rsid w:val="00706511"/>
    <w:rsid w:val="00707443"/>
    <w:rsid w:val="00707CFF"/>
    <w:rsid w:val="00712890"/>
    <w:rsid w:val="00712BBA"/>
    <w:rsid w:val="00716AA0"/>
    <w:rsid w:val="0071734B"/>
    <w:rsid w:val="00720145"/>
    <w:rsid w:val="00720345"/>
    <w:rsid w:val="00720528"/>
    <w:rsid w:val="00722F81"/>
    <w:rsid w:val="00723C5C"/>
    <w:rsid w:val="00724895"/>
    <w:rsid w:val="00724F42"/>
    <w:rsid w:val="00731356"/>
    <w:rsid w:val="0073137D"/>
    <w:rsid w:val="00731DF9"/>
    <w:rsid w:val="007324FC"/>
    <w:rsid w:val="007343B6"/>
    <w:rsid w:val="007351AD"/>
    <w:rsid w:val="00736AFF"/>
    <w:rsid w:val="00736DBD"/>
    <w:rsid w:val="007434B1"/>
    <w:rsid w:val="00743BE1"/>
    <w:rsid w:val="0074448F"/>
    <w:rsid w:val="007446AC"/>
    <w:rsid w:val="00744B65"/>
    <w:rsid w:val="00744C73"/>
    <w:rsid w:val="00745C15"/>
    <w:rsid w:val="007469CE"/>
    <w:rsid w:val="00747A23"/>
    <w:rsid w:val="00747D47"/>
    <w:rsid w:val="00750F71"/>
    <w:rsid w:val="00751536"/>
    <w:rsid w:val="00752F5A"/>
    <w:rsid w:val="007535FA"/>
    <w:rsid w:val="00753F61"/>
    <w:rsid w:val="007552E2"/>
    <w:rsid w:val="007565A1"/>
    <w:rsid w:val="007572D6"/>
    <w:rsid w:val="00757314"/>
    <w:rsid w:val="00757A3A"/>
    <w:rsid w:val="0076080C"/>
    <w:rsid w:val="007643BB"/>
    <w:rsid w:val="007646F9"/>
    <w:rsid w:val="00765450"/>
    <w:rsid w:val="00765EA1"/>
    <w:rsid w:val="0076763A"/>
    <w:rsid w:val="00767D0F"/>
    <w:rsid w:val="0077008B"/>
    <w:rsid w:val="007701E2"/>
    <w:rsid w:val="00770635"/>
    <w:rsid w:val="00771C2C"/>
    <w:rsid w:val="007727CE"/>
    <w:rsid w:val="00772E33"/>
    <w:rsid w:val="00772F6D"/>
    <w:rsid w:val="00773ED9"/>
    <w:rsid w:val="00774D49"/>
    <w:rsid w:val="0077588B"/>
    <w:rsid w:val="007765C1"/>
    <w:rsid w:val="007767B5"/>
    <w:rsid w:val="0077696A"/>
    <w:rsid w:val="00777C37"/>
    <w:rsid w:val="00780613"/>
    <w:rsid w:val="007821D4"/>
    <w:rsid w:val="007826FE"/>
    <w:rsid w:val="00782908"/>
    <w:rsid w:val="007837AA"/>
    <w:rsid w:val="00783F41"/>
    <w:rsid w:val="0078418B"/>
    <w:rsid w:val="007842F6"/>
    <w:rsid w:val="007852CB"/>
    <w:rsid w:val="00787731"/>
    <w:rsid w:val="007908C5"/>
    <w:rsid w:val="00791236"/>
    <w:rsid w:val="00791271"/>
    <w:rsid w:val="00791E59"/>
    <w:rsid w:val="00793154"/>
    <w:rsid w:val="007932E2"/>
    <w:rsid w:val="00793B30"/>
    <w:rsid w:val="0079436B"/>
    <w:rsid w:val="00795909"/>
    <w:rsid w:val="007967B0"/>
    <w:rsid w:val="007968F1"/>
    <w:rsid w:val="007A1517"/>
    <w:rsid w:val="007A1930"/>
    <w:rsid w:val="007A2C3C"/>
    <w:rsid w:val="007A66BC"/>
    <w:rsid w:val="007A66DD"/>
    <w:rsid w:val="007A6AE0"/>
    <w:rsid w:val="007A6C7E"/>
    <w:rsid w:val="007A7C7E"/>
    <w:rsid w:val="007B0683"/>
    <w:rsid w:val="007B0784"/>
    <w:rsid w:val="007B112E"/>
    <w:rsid w:val="007B1C6B"/>
    <w:rsid w:val="007B3112"/>
    <w:rsid w:val="007B719B"/>
    <w:rsid w:val="007C00E3"/>
    <w:rsid w:val="007C034D"/>
    <w:rsid w:val="007C09F5"/>
    <w:rsid w:val="007C0FF8"/>
    <w:rsid w:val="007C26E7"/>
    <w:rsid w:val="007C3CF8"/>
    <w:rsid w:val="007C4554"/>
    <w:rsid w:val="007C4F1A"/>
    <w:rsid w:val="007C5499"/>
    <w:rsid w:val="007C757C"/>
    <w:rsid w:val="007D3A16"/>
    <w:rsid w:val="007D6784"/>
    <w:rsid w:val="007D68A9"/>
    <w:rsid w:val="007E2D82"/>
    <w:rsid w:val="007E47F0"/>
    <w:rsid w:val="007E5077"/>
    <w:rsid w:val="007E5130"/>
    <w:rsid w:val="007E5916"/>
    <w:rsid w:val="007E6EA4"/>
    <w:rsid w:val="007E794A"/>
    <w:rsid w:val="007E7D35"/>
    <w:rsid w:val="007F060B"/>
    <w:rsid w:val="007F332D"/>
    <w:rsid w:val="007F3ED1"/>
    <w:rsid w:val="007F48D8"/>
    <w:rsid w:val="007F5D5E"/>
    <w:rsid w:val="007F66BE"/>
    <w:rsid w:val="007F69E1"/>
    <w:rsid w:val="007F6C96"/>
    <w:rsid w:val="007F7304"/>
    <w:rsid w:val="007F7549"/>
    <w:rsid w:val="007F7FAF"/>
    <w:rsid w:val="00801B01"/>
    <w:rsid w:val="00804018"/>
    <w:rsid w:val="00804235"/>
    <w:rsid w:val="0080466F"/>
    <w:rsid w:val="00804817"/>
    <w:rsid w:val="00804897"/>
    <w:rsid w:val="00805690"/>
    <w:rsid w:val="008057ED"/>
    <w:rsid w:val="0080627C"/>
    <w:rsid w:val="00807DA2"/>
    <w:rsid w:val="00807EF4"/>
    <w:rsid w:val="0081163E"/>
    <w:rsid w:val="00811844"/>
    <w:rsid w:val="00811B73"/>
    <w:rsid w:val="008127EC"/>
    <w:rsid w:val="00813964"/>
    <w:rsid w:val="0081523C"/>
    <w:rsid w:val="00815265"/>
    <w:rsid w:val="00815661"/>
    <w:rsid w:val="00816619"/>
    <w:rsid w:val="00816D51"/>
    <w:rsid w:val="00821041"/>
    <w:rsid w:val="00822C84"/>
    <w:rsid w:val="00824778"/>
    <w:rsid w:val="008248CD"/>
    <w:rsid w:val="00824B27"/>
    <w:rsid w:val="00825E24"/>
    <w:rsid w:val="00833A2C"/>
    <w:rsid w:val="00834626"/>
    <w:rsid w:val="00834C8B"/>
    <w:rsid w:val="008351B3"/>
    <w:rsid w:val="00835DCF"/>
    <w:rsid w:val="00836046"/>
    <w:rsid w:val="00836780"/>
    <w:rsid w:val="00840FAE"/>
    <w:rsid w:val="00842169"/>
    <w:rsid w:val="00842BD4"/>
    <w:rsid w:val="00845A7B"/>
    <w:rsid w:val="00845E43"/>
    <w:rsid w:val="00846803"/>
    <w:rsid w:val="008504FA"/>
    <w:rsid w:val="008510B9"/>
    <w:rsid w:val="00851424"/>
    <w:rsid w:val="00852988"/>
    <w:rsid w:val="0085348D"/>
    <w:rsid w:val="00855983"/>
    <w:rsid w:val="008559DF"/>
    <w:rsid w:val="00855C9A"/>
    <w:rsid w:val="00856F00"/>
    <w:rsid w:val="0086025E"/>
    <w:rsid w:val="00860AC5"/>
    <w:rsid w:val="00861533"/>
    <w:rsid w:val="00861948"/>
    <w:rsid w:val="00861C59"/>
    <w:rsid w:val="0086269A"/>
    <w:rsid w:val="0086275C"/>
    <w:rsid w:val="00862C24"/>
    <w:rsid w:val="00862D99"/>
    <w:rsid w:val="00863A1A"/>
    <w:rsid w:val="00866E43"/>
    <w:rsid w:val="0086733E"/>
    <w:rsid w:val="0087031A"/>
    <w:rsid w:val="00873559"/>
    <w:rsid w:val="00875381"/>
    <w:rsid w:val="00877298"/>
    <w:rsid w:val="00881FCE"/>
    <w:rsid w:val="00882DF8"/>
    <w:rsid w:val="008843FA"/>
    <w:rsid w:val="008846EB"/>
    <w:rsid w:val="00885982"/>
    <w:rsid w:val="00885E80"/>
    <w:rsid w:val="008901FA"/>
    <w:rsid w:val="008919B4"/>
    <w:rsid w:val="008938A7"/>
    <w:rsid w:val="00893F14"/>
    <w:rsid w:val="00893F99"/>
    <w:rsid w:val="00895C6A"/>
    <w:rsid w:val="008963C6"/>
    <w:rsid w:val="008A4F1E"/>
    <w:rsid w:val="008A50E4"/>
    <w:rsid w:val="008A552E"/>
    <w:rsid w:val="008A6BE2"/>
    <w:rsid w:val="008B093F"/>
    <w:rsid w:val="008B0A40"/>
    <w:rsid w:val="008B1276"/>
    <w:rsid w:val="008B188D"/>
    <w:rsid w:val="008B2165"/>
    <w:rsid w:val="008B2178"/>
    <w:rsid w:val="008B2513"/>
    <w:rsid w:val="008B429B"/>
    <w:rsid w:val="008B4E8D"/>
    <w:rsid w:val="008B5EFB"/>
    <w:rsid w:val="008B5F2B"/>
    <w:rsid w:val="008B66DC"/>
    <w:rsid w:val="008B6DDB"/>
    <w:rsid w:val="008C0A69"/>
    <w:rsid w:val="008C1C36"/>
    <w:rsid w:val="008C419A"/>
    <w:rsid w:val="008C4CD1"/>
    <w:rsid w:val="008C5F5D"/>
    <w:rsid w:val="008D128C"/>
    <w:rsid w:val="008D1329"/>
    <w:rsid w:val="008D1653"/>
    <w:rsid w:val="008D1B2D"/>
    <w:rsid w:val="008D284C"/>
    <w:rsid w:val="008D3C45"/>
    <w:rsid w:val="008D4092"/>
    <w:rsid w:val="008D641C"/>
    <w:rsid w:val="008D64B7"/>
    <w:rsid w:val="008D67A0"/>
    <w:rsid w:val="008D6DED"/>
    <w:rsid w:val="008D6DF5"/>
    <w:rsid w:val="008D71BD"/>
    <w:rsid w:val="008D76EA"/>
    <w:rsid w:val="008D7F6B"/>
    <w:rsid w:val="008E1276"/>
    <w:rsid w:val="008E172D"/>
    <w:rsid w:val="008E266D"/>
    <w:rsid w:val="008E2784"/>
    <w:rsid w:val="008E3A76"/>
    <w:rsid w:val="008E3BA9"/>
    <w:rsid w:val="008E572C"/>
    <w:rsid w:val="008E6D83"/>
    <w:rsid w:val="008E6D94"/>
    <w:rsid w:val="008E7C62"/>
    <w:rsid w:val="008F2E38"/>
    <w:rsid w:val="008F3002"/>
    <w:rsid w:val="008F386E"/>
    <w:rsid w:val="008F4F99"/>
    <w:rsid w:val="008F5038"/>
    <w:rsid w:val="008F50CB"/>
    <w:rsid w:val="008F667A"/>
    <w:rsid w:val="008F6B59"/>
    <w:rsid w:val="009004AD"/>
    <w:rsid w:val="0090143B"/>
    <w:rsid w:val="00902B68"/>
    <w:rsid w:val="00902F89"/>
    <w:rsid w:val="00904517"/>
    <w:rsid w:val="00904E72"/>
    <w:rsid w:val="00905A84"/>
    <w:rsid w:val="00905BDB"/>
    <w:rsid w:val="009063D7"/>
    <w:rsid w:val="00907B1C"/>
    <w:rsid w:val="00910B7D"/>
    <w:rsid w:val="00911473"/>
    <w:rsid w:val="00912022"/>
    <w:rsid w:val="00913096"/>
    <w:rsid w:val="00915518"/>
    <w:rsid w:val="00915E94"/>
    <w:rsid w:val="00917183"/>
    <w:rsid w:val="00917A28"/>
    <w:rsid w:val="0092014C"/>
    <w:rsid w:val="00920452"/>
    <w:rsid w:val="00920DA3"/>
    <w:rsid w:val="0092133E"/>
    <w:rsid w:val="00921AFE"/>
    <w:rsid w:val="00923DDD"/>
    <w:rsid w:val="0092484C"/>
    <w:rsid w:val="00924CAA"/>
    <w:rsid w:val="00925172"/>
    <w:rsid w:val="0092760E"/>
    <w:rsid w:val="00930094"/>
    <w:rsid w:val="0093027A"/>
    <w:rsid w:val="00935DA0"/>
    <w:rsid w:val="0093749D"/>
    <w:rsid w:val="00941139"/>
    <w:rsid w:val="009425D8"/>
    <w:rsid w:val="00942A1C"/>
    <w:rsid w:val="009443BA"/>
    <w:rsid w:val="009448C4"/>
    <w:rsid w:val="0094532C"/>
    <w:rsid w:val="0094543B"/>
    <w:rsid w:val="00946530"/>
    <w:rsid w:val="00947063"/>
    <w:rsid w:val="00951A5F"/>
    <w:rsid w:val="00952001"/>
    <w:rsid w:val="00954AA1"/>
    <w:rsid w:val="00955666"/>
    <w:rsid w:val="00955CEC"/>
    <w:rsid w:val="0095744A"/>
    <w:rsid w:val="00963F91"/>
    <w:rsid w:val="00965156"/>
    <w:rsid w:val="00967083"/>
    <w:rsid w:val="00970BBE"/>
    <w:rsid w:val="00976555"/>
    <w:rsid w:val="009769C9"/>
    <w:rsid w:val="00976CB6"/>
    <w:rsid w:val="00976F34"/>
    <w:rsid w:val="00980373"/>
    <w:rsid w:val="00980D8F"/>
    <w:rsid w:val="00982F91"/>
    <w:rsid w:val="00983834"/>
    <w:rsid w:val="009840DE"/>
    <w:rsid w:val="009848A2"/>
    <w:rsid w:val="00984EAA"/>
    <w:rsid w:val="0098680B"/>
    <w:rsid w:val="0098731C"/>
    <w:rsid w:val="00991A71"/>
    <w:rsid w:val="00992344"/>
    <w:rsid w:val="00992D0D"/>
    <w:rsid w:val="00993F02"/>
    <w:rsid w:val="00994584"/>
    <w:rsid w:val="0099581E"/>
    <w:rsid w:val="00995CC1"/>
    <w:rsid w:val="0099610A"/>
    <w:rsid w:val="00996347"/>
    <w:rsid w:val="00996552"/>
    <w:rsid w:val="009967B6"/>
    <w:rsid w:val="00997B2E"/>
    <w:rsid w:val="009A06CA"/>
    <w:rsid w:val="009A09DE"/>
    <w:rsid w:val="009A0F8C"/>
    <w:rsid w:val="009A22FA"/>
    <w:rsid w:val="009A2795"/>
    <w:rsid w:val="009A28D6"/>
    <w:rsid w:val="009A33F9"/>
    <w:rsid w:val="009A6200"/>
    <w:rsid w:val="009A6AF7"/>
    <w:rsid w:val="009A6BE7"/>
    <w:rsid w:val="009B1D50"/>
    <w:rsid w:val="009B205E"/>
    <w:rsid w:val="009B2AB0"/>
    <w:rsid w:val="009B3757"/>
    <w:rsid w:val="009C17F0"/>
    <w:rsid w:val="009C2EE3"/>
    <w:rsid w:val="009C3041"/>
    <w:rsid w:val="009C3886"/>
    <w:rsid w:val="009C41B8"/>
    <w:rsid w:val="009C4ECD"/>
    <w:rsid w:val="009C61FA"/>
    <w:rsid w:val="009C6924"/>
    <w:rsid w:val="009C6EF7"/>
    <w:rsid w:val="009D11E0"/>
    <w:rsid w:val="009D23BE"/>
    <w:rsid w:val="009D4502"/>
    <w:rsid w:val="009D7791"/>
    <w:rsid w:val="009D7A00"/>
    <w:rsid w:val="009E20AC"/>
    <w:rsid w:val="009E2152"/>
    <w:rsid w:val="009E24D5"/>
    <w:rsid w:val="009E3146"/>
    <w:rsid w:val="009E3AB4"/>
    <w:rsid w:val="009E4F39"/>
    <w:rsid w:val="009E7DF7"/>
    <w:rsid w:val="009F02F5"/>
    <w:rsid w:val="009F137E"/>
    <w:rsid w:val="009F1A25"/>
    <w:rsid w:val="009F1CDA"/>
    <w:rsid w:val="009F2804"/>
    <w:rsid w:val="009F30C6"/>
    <w:rsid w:val="009F59FC"/>
    <w:rsid w:val="009F5E7D"/>
    <w:rsid w:val="009F6378"/>
    <w:rsid w:val="009F673D"/>
    <w:rsid w:val="009F7251"/>
    <w:rsid w:val="009F79EF"/>
    <w:rsid w:val="00A02825"/>
    <w:rsid w:val="00A02973"/>
    <w:rsid w:val="00A06170"/>
    <w:rsid w:val="00A063A8"/>
    <w:rsid w:val="00A10DB8"/>
    <w:rsid w:val="00A11675"/>
    <w:rsid w:val="00A13506"/>
    <w:rsid w:val="00A13B2C"/>
    <w:rsid w:val="00A13C8A"/>
    <w:rsid w:val="00A14EC8"/>
    <w:rsid w:val="00A16DFB"/>
    <w:rsid w:val="00A177AF"/>
    <w:rsid w:val="00A1783B"/>
    <w:rsid w:val="00A17853"/>
    <w:rsid w:val="00A17C57"/>
    <w:rsid w:val="00A2482A"/>
    <w:rsid w:val="00A24858"/>
    <w:rsid w:val="00A25975"/>
    <w:rsid w:val="00A25A39"/>
    <w:rsid w:val="00A26401"/>
    <w:rsid w:val="00A27DD4"/>
    <w:rsid w:val="00A300DB"/>
    <w:rsid w:val="00A31685"/>
    <w:rsid w:val="00A324AF"/>
    <w:rsid w:val="00A3311E"/>
    <w:rsid w:val="00A33EC9"/>
    <w:rsid w:val="00A33FEC"/>
    <w:rsid w:val="00A34427"/>
    <w:rsid w:val="00A36290"/>
    <w:rsid w:val="00A43332"/>
    <w:rsid w:val="00A5244D"/>
    <w:rsid w:val="00A526F9"/>
    <w:rsid w:val="00A52EC0"/>
    <w:rsid w:val="00A535D2"/>
    <w:rsid w:val="00A53E9E"/>
    <w:rsid w:val="00A544BB"/>
    <w:rsid w:val="00A54822"/>
    <w:rsid w:val="00A550F6"/>
    <w:rsid w:val="00A56771"/>
    <w:rsid w:val="00A56D3E"/>
    <w:rsid w:val="00A56EC0"/>
    <w:rsid w:val="00A61280"/>
    <w:rsid w:val="00A61937"/>
    <w:rsid w:val="00A61FAE"/>
    <w:rsid w:val="00A62ACD"/>
    <w:rsid w:val="00A6302E"/>
    <w:rsid w:val="00A6338B"/>
    <w:rsid w:val="00A6602B"/>
    <w:rsid w:val="00A66767"/>
    <w:rsid w:val="00A66B1A"/>
    <w:rsid w:val="00A66D3A"/>
    <w:rsid w:val="00A678C3"/>
    <w:rsid w:val="00A701B8"/>
    <w:rsid w:val="00A72220"/>
    <w:rsid w:val="00A72372"/>
    <w:rsid w:val="00A725F7"/>
    <w:rsid w:val="00A734CB"/>
    <w:rsid w:val="00A739E8"/>
    <w:rsid w:val="00A749BB"/>
    <w:rsid w:val="00A74FB0"/>
    <w:rsid w:val="00A753C1"/>
    <w:rsid w:val="00A75487"/>
    <w:rsid w:val="00A760FD"/>
    <w:rsid w:val="00A768AF"/>
    <w:rsid w:val="00A775B2"/>
    <w:rsid w:val="00A80437"/>
    <w:rsid w:val="00A80E02"/>
    <w:rsid w:val="00A8407B"/>
    <w:rsid w:val="00A87A22"/>
    <w:rsid w:val="00A902F6"/>
    <w:rsid w:val="00A904F5"/>
    <w:rsid w:val="00A9082B"/>
    <w:rsid w:val="00A924A9"/>
    <w:rsid w:val="00A92BB4"/>
    <w:rsid w:val="00A92F85"/>
    <w:rsid w:val="00A9434A"/>
    <w:rsid w:val="00A9437E"/>
    <w:rsid w:val="00A94D00"/>
    <w:rsid w:val="00A94EB7"/>
    <w:rsid w:val="00A9552D"/>
    <w:rsid w:val="00A955A4"/>
    <w:rsid w:val="00A962E5"/>
    <w:rsid w:val="00A97C5B"/>
    <w:rsid w:val="00A97DC3"/>
    <w:rsid w:val="00AA0641"/>
    <w:rsid w:val="00AA19C5"/>
    <w:rsid w:val="00AA1E2E"/>
    <w:rsid w:val="00AA2641"/>
    <w:rsid w:val="00AA29FE"/>
    <w:rsid w:val="00AA31E2"/>
    <w:rsid w:val="00AA3212"/>
    <w:rsid w:val="00AA3602"/>
    <w:rsid w:val="00AA3EDA"/>
    <w:rsid w:val="00AA4AA7"/>
    <w:rsid w:val="00AA5B1B"/>
    <w:rsid w:val="00AA62E8"/>
    <w:rsid w:val="00AB162C"/>
    <w:rsid w:val="00AB1A8C"/>
    <w:rsid w:val="00AB2F0E"/>
    <w:rsid w:val="00AB32C3"/>
    <w:rsid w:val="00AB39F6"/>
    <w:rsid w:val="00AB49EA"/>
    <w:rsid w:val="00AC0085"/>
    <w:rsid w:val="00AC019D"/>
    <w:rsid w:val="00AC0F11"/>
    <w:rsid w:val="00AC1420"/>
    <w:rsid w:val="00AC17A7"/>
    <w:rsid w:val="00AC2118"/>
    <w:rsid w:val="00AC4F8C"/>
    <w:rsid w:val="00AC568B"/>
    <w:rsid w:val="00AC64CD"/>
    <w:rsid w:val="00AD1035"/>
    <w:rsid w:val="00AD106A"/>
    <w:rsid w:val="00AD2ED3"/>
    <w:rsid w:val="00AD3B19"/>
    <w:rsid w:val="00AD45C3"/>
    <w:rsid w:val="00AD55B8"/>
    <w:rsid w:val="00AD7016"/>
    <w:rsid w:val="00AD798F"/>
    <w:rsid w:val="00AE082C"/>
    <w:rsid w:val="00AE0BDC"/>
    <w:rsid w:val="00AE0E21"/>
    <w:rsid w:val="00AE0FA4"/>
    <w:rsid w:val="00AE245D"/>
    <w:rsid w:val="00AE26D8"/>
    <w:rsid w:val="00AE31C9"/>
    <w:rsid w:val="00AE498D"/>
    <w:rsid w:val="00AE6229"/>
    <w:rsid w:val="00AE7C83"/>
    <w:rsid w:val="00AF0EC1"/>
    <w:rsid w:val="00AF160F"/>
    <w:rsid w:val="00AF2078"/>
    <w:rsid w:val="00AF36DF"/>
    <w:rsid w:val="00AF3835"/>
    <w:rsid w:val="00AF486F"/>
    <w:rsid w:val="00AF5023"/>
    <w:rsid w:val="00AF7830"/>
    <w:rsid w:val="00B00154"/>
    <w:rsid w:val="00B00A18"/>
    <w:rsid w:val="00B02DEB"/>
    <w:rsid w:val="00B03B0B"/>
    <w:rsid w:val="00B04360"/>
    <w:rsid w:val="00B04373"/>
    <w:rsid w:val="00B0575F"/>
    <w:rsid w:val="00B07E36"/>
    <w:rsid w:val="00B117D5"/>
    <w:rsid w:val="00B11D1F"/>
    <w:rsid w:val="00B11FFF"/>
    <w:rsid w:val="00B12832"/>
    <w:rsid w:val="00B1382C"/>
    <w:rsid w:val="00B14040"/>
    <w:rsid w:val="00B14E60"/>
    <w:rsid w:val="00B1589C"/>
    <w:rsid w:val="00B16832"/>
    <w:rsid w:val="00B16EDB"/>
    <w:rsid w:val="00B17D32"/>
    <w:rsid w:val="00B20789"/>
    <w:rsid w:val="00B207B3"/>
    <w:rsid w:val="00B21748"/>
    <w:rsid w:val="00B21933"/>
    <w:rsid w:val="00B21CBF"/>
    <w:rsid w:val="00B2294C"/>
    <w:rsid w:val="00B25A06"/>
    <w:rsid w:val="00B25D13"/>
    <w:rsid w:val="00B26149"/>
    <w:rsid w:val="00B26809"/>
    <w:rsid w:val="00B2688D"/>
    <w:rsid w:val="00B27CF3"/>
    <w:rsid w:val="00B306BA"/>
    <w:rsid w:val="00B30929"/>
    <w:rsid w:val="00B354AC"/>
    <w:rsid w:val="00B358A0"/>
    <w:rsid w:val="00B35DF8"/>
    <w:rsid w:val="00B3604B"/>
    <w:rsid w:val="00B3723B"/>
    <w:rsid w:val="00B40080"/>
    <w:rsid w:val="00B41077"/>
    <w:rsid w:val="00B43FCD"/>
    <w:rsid w:val="00B44135"/>
    <w:rsid w:val="00B44791"/>
    <w:rsid w:val="00B460A0"/>
    <w:rsid w:val="00B47B9C"/>
    <w:rsid w:val="00B47BC4"/>
    <w:rsid w:val="00B50046"/>
    <w:rsid w:val="00B50F2C"/>
    <w:rsid w:val="00B53291"/>
    <w:rsid w:val="00B54A13"/>
    <w:rsid w:val="00B54D83"/>
    <w:rsid w:val="00B55534"/>
    <w:rsid w:val="00B56F17"/>
    <w:rsid w:val="00B578DB"/>
    <w:rsid w:val="00B6001E"/>
    <w:rsid w:val="00B604DD"/>
    <w:rsid w:val="00B60996"/>
    <w:rsid w:val="00B61167"/>
    <w:rsid w:val="00B62F6B"/>
    <w:rsid w:val="00B632D1"/>
    <w:rsid w:val="00B63B52"/>
    <w:rsid w:val="00B64578"/>
    <w:rsid w:val="00B6586C"/>
    <w:rsid w:val="00B659F8"/>
    <w:rsid w:val="00B66C0F"/>
    <w:rsid w:val="00B67BA0"/>
    <w:rsid w:val="00B67C09"/>
    <w:rsid w:val="00B70BFB"/>
    <w:rsid w:val="00B71E0A"/>
    <w:rsid w:val="00B722F2"/>
    <w:rsid w:val="00B72CBE"/>
    <w:rsid w:val="00B74BCD"/>
    <w:rsid w:val="00B74DCB"/>
    <w:rsid w:val="00B754E9"/>
    <w:rsid w:val="00B7555D"/>
    <w:rsid w:val="00B75855"/>
    <w:rsid w:val="00B77E2A"/>
    <w:rsid w:val="00B8011E"/>
    <w:rsid w:val="00B805EC"/>
    <w:rsid w:val="00B821AA"/>
    <w:rsid w:val="00B82256"/>
    <w:rsid w:val="00B83226"/>
    <w:rsid w:val="00B8395C"/>
    <w:rsid w:val="00B84AFB"/>
    <w:rsid w:val="00B852B9"/>
    <w:rsid w:val="00B8544A"/>
    <w:rsid w:val="00B86305"/>
    <w:rsid w:val="00B863D7"/>
    <w:rsid w:val="00B91233"/>
    <w:rsid w:val="00B9138E"/>
    <w:rsid w:val="00B91982"/>
    <w:rsid w:val="00B91DBA"/>
    <w:rsid w:val="00B923F3"/>
    <w:rsid w:val="00B93CDF"/>
    <w:rsid w:val="00B9477C"/>
    <w:rsid w:val="00B95860"/>
    <w:rsid w:val="00B9673A"/>
    <w:rsid w:val="00B96848"/>
    <w:rsid w:val="00B9735B"/>
    <w:rsid w:val="00B97F15"/>
    <w:rsid w:val="00BA037F"/>
    <w:rsid w:val="00BA0411"/>
    <w:rsid w:val="00BA044E"/>
    <w:rsid w:val="00BA0F5C"/>
    <w:rsid w:val="00BA1312"/>
    <w:rsid w:val="00BA1568"/>
    <w:rsid w:val="00BA19DB"/>
    <w:rsid w:val="00BA1DAF"/>
    <w:rsid w:val="00BA2220"/>
    <w:rsid w:val="00BA3950"/>
    <w:rsid w:val="00BA567A"/>
    <w:rsid w:val="00BA62F7"/>
    <w:rsid w:val="00BA6412"/>
    <w:rsid w:val="00BA7B5E"/>
    <w:rsid w:val="00BB01B1"/>
    <w:rsid w:val="00BB1C87"/>
    <w:rsid w:val="00BB3204"/>
    <w:rsid w:val="00BB4556"/>
    <w:rsid w:val="00BB7473"/>
    <w:rsid w:val="00BB7C34"/>
    <w:rsid w:val="00BC11EB"/>
    <w:rsid w:val="00BC28E9"/>
    <w:rsid w:val="00BC4041"/>
    <w:rsid w:val="00BC5299"/>
    <w:rsid w:val="00BC52DD"/>
    <w:rsid w:val="00BC5AEE"/>
    <w:rsid w:val="00BC7302"/>
    <w:rsid w:val="00BC78E0"/>
    <w:rsid w:val="00BD08E8"/>
    <w:rsid w:val="00BD0B27"/>
    <w:rsid w:val="00BD10DD"/>
    <w:rsid w:val="00BD2F40"/>
    <w:rsid w:val="00BD39C4"/>
    <w:rsid w:val="00BD3B95"/>
    <w:rsid w:val="00BD4DBD"/>
    <w:rsid w:val="00BD66AE"/>
    <w:rsid w:val="00BD6C50"/>
    <w:rsid w:val="00BD6E18"/>
    <w:rsid w:val="00BD7027"/>
    <w:rsid w:val="00BE087F"/>
    <w:rsid w:val="00BE1746"/>
    <w:rsid w:val="00BE4011"/>
    <w:rsid w:val="00BE4EF8"/>
    <w:rsid w:val="00BE585D"/>
    <w:rsid w:val="00BE59A4"/>
    <w:rsid w:val="00BE59FF"/>
    <w:rsid w:val="00BF03B8"/>
    <w:rsid w:val="00BF03FD"/>
    <w:rsid w:val="00BF070D"/>
    <w:rsid w:val="00BF21EF"/>
    <w:rsid w:val="00BF2BBC"/>
    <w:rsid w:val="00BF2FAE"/>
    <w:rsid w:val="00BF4325"/>
    <w:rsid w:val="00BF546C"/>
    <w:rsid w:val="00BF5786"/>
    <w:rsid w:val="00BF5A50"/>
    <w:rsid w:val="00BF695E"/>
    <w:rsid w:val="00BF7FDE"/>
    <w:rsid w:val="00C00805"/>
    <w:rsid w:val="00C00D7C"/>
    <w:rsid w:val="00C027FE"/>
    <w:rsid w:val="00C042DA"/>
    <w:rsid w:val="00C04490"/>
    <w:rsid w:val="00C05BB3"/>
    <w:rsid w:val="00C05C79"/>
    <w:rsid w:val="00C05DD2"/>
    <w:rsid w:val="00C07469"/>
    <w:rsid w:val="00C11867"/>
    <w:rsid w:val="00C12636"/>
    <w:rsid w:val="00C14073"/>
    <w:rsid w:val="00C1481B"/>
    <w:rsid w:val="00C14E0E"/>
    <w:rsid w:val="00C1502E"/>
    <w:rsid w:val="00C158D5"/>
    <w:rsid w:val="00C15C25"/>
    <w:rsid w:val="00C164B6"/>
    <w:rsid w:val="00C16A82"/>
    <w:rsid w:val="00C17DE8"/>
    <w:rsid w:val="00C20AA4"/>
    <w:rsid w:val="00C21075"/>
    <w:rsid w:val="00C24319"/>
    <w:rsid w:val="00C24D6A"/>
    <w:rsid w:val="00C2585E"/>
    <w:rsid w:val="00C276D2"/>
    <w:rsid w:val="00C27D50"/>
    <w:rsid w:val="00C32BD4"/>
    <w:rsid w:val="00C334D6"/>
    <w:rsid w:val="00C34C55"/>
    <w:rsid w:val="00C35780"/>
    <w:rsid w:val="00C359EC"/>
    <w:rsid w:val="00C40399"/>
    <w:rsid w:val="00C41BA7"/>
    <w:rsid w:val="00C42FC1"/>
    <w:rsid w:val="00C4381E"/>
    <w:rsid w:val="00C44066"/>
    <w:rsid w:val="00C451B8"/>
    <w:rsid w:val="00C45A2F"/>
    <w:rsid w:val="00C46C96"/>
    <w:rsid w:val="00C46D11"/>
    <w:rsid w:val="00C5030C"/>
    <w:rsid w:val="00C523BF"/>
    <w:rsid w:val="00C53955"/>
    <w:rsid w:val="00C53EA5"/>
    <w:rsid w:val="00C55360"/>
    <w:rsid w:val="00C565E1"/>
    <w:rsid w:val="00C57004"/>
    <w:rsid w:val="00C570CA"/>
    <w:rsid w:val="00C57AFC"/>
    <w:rsid w:val="00C6058C"/>
    <w:rsid w:val="00C60683"/>
    <w:rsid w:val="00C606B4"/>
    <w:rsid w:val="00C6397F"/>
    <w:rsid w:val="00C63F00"/>
    <w:rsid w:val="00C644DA"/>
    <w:rsid w:val="00C64A13"/>
    <w:rsid w:val="00C64DAB"/>
    <w:rsid w:val="00C66B7D"/>
    <w:rsid w:val="00C67185"/>
    <w:rsid w:val="00C6737B"/>
    <w:rsid w:val="00C721F1"/>
    <w:rsid w:val="00C72266"/>
    <w:rsid w:val="00C7264E"/>
    <w:rsid w:val="00C742B5"/>
    <w:rsid w:val="00C74AC8"/>
    <w:rsid w:val="00C776A6"/>
    <w:rsid w:val="00C77893"/>
    <w:rsid w:val="00C77A1A"/>
    <w:rsid w:val="00C81337"/>
    <w:rsid w:val="00C819D0"/>
    <w:rsid w:val="00C83387"/>
    <w:rsid w:val="00C83A18"/>
    <w:rsid w:val="00C841CE"/>
    <w:rsid w:val="00C8563F"/>
    <w:rsid w:val="00C86237"/>
    <w:rsid w:val="00C9063F"/>
    <w:rsid w:val="00C906D8"/>
    <w:rsid w:val="00C9181B"/>
    <w:rsid w:val="00C92013"/>
    <w:rsid w:val="00C92318"/>
    <w:rsid w:val="00C92C46"/>
    <w:rsid w:val="00C93CD9"/>
    <w:rsid w:val="00C95207"/>
    <w:rsid w:val="00C954BE"/>
    <w:rsid w:val="00C95CB2"/>
    <w:rsid w:val="00C976EE"/>
    <w:rsid w:val="00CA0059"/>
    <w:rsid w:val="00CA07B9"/>
    <w:rsid w:val="00CA313A"/>
    <w:rsid w:val="00CA32A3"/>
    <w:rsid w:val="00CA37E7"/>
    <w:rsid w:val="00CA412B"/>
    <w:rsid w:val="00CA457E"/>
    <w:rsid w:val="00CA48CE"/>
    <w:rsid w:val="00CA50B3"/>
    <w:rsid w:val="00CA5198"/>
    <w:rsid w:val="00CA5FBC"/>
    <w:rsid w:val="00CA615F"/>
    <w:rsid w:val="00CA7093"/>
    <w:rsid w:val="00CA7303"/>
    <w:rsid w:val="00CA7BAF"/>
    <w:rsid w:val="00CB08CE"/>
    <w:rsid w:val="00CB12E4"/>
    <w:rsid w:val="00CB22AD"/>
    <w:rsid w:val="00CB3A8A"/>
    <w:rsid w:val="00CB3E17"/>
    <w:rsid w:val="00CB40F7"/>
    <w:rsid w:val="00CB53F9"/>
    <w:rsid w:val="00CB6196"/>
    <w:rsid w:val="00CB6585"/>
    <w:rsid w:val="00CB662F"/>
    <w:rsid w:val="00CB741D"/>
    <w:rsid w:val="00CB75B7"/>
    <w:rsid w:val="00CB7A1A"/>
    <w:rsid w:val="00CC18C4"/>
    <w:rsid w:val="00CC2641"/>
    <w:rsid w:val="00CC2B82"/>
    <w:rsid w:val="00CC2BB8"/>
    <w:rsid w:val="00CC2E0E"/>
    <w:rsid w:val="00CC367B"/>
    <w:rsid w:val="00CC5550"/>
    <w:rsid w:val="00CC5E3D"/>
    <w:rsid w:val="00CC635C"/>
    <w:rsid w:val="00CC6507"/>
    <w:rsid w:val="00CC6E5E"/>
    <w:rsid w:val="00CC7312"/>
    <w:rsid w:val="00CC75D8"/>
    <w:rsid w:val="00CC7AC6"/>
    <w:rsid w:val="00CD01CB"/>
    <w:rsid w:val="00CD0347"/>
    <w:rsid w:val="00CD04B6"/>
    <w:rsid w:val="00CD0662"/>
    <w:rsid w:val="00CD07AC"/>
    <w:rsid w:val="00CD0ECF"/>
    <w:rsid w:val="00CD1FBA"/>
    <w:rsid w:val="00CD3543"/>
    <w:rsid w:val="00CD4200"/>
    <w:rsid w:val="00CD4386"/>
    <w:rsid w:val="00CD43BB"/>
    <w:rsid w:val="00CD4492"/>
    <w:rsid w:val="00CD468A"/>
    <w:rsid w:val="00CD4C2D"/>
    <w:rsid w:val="00CD4D9B"/>
    <w:rsid w:val="00CD63C6"/>
    <w:rsid w:val="00CD670D"/>
    <w:rsid w:val="00CE066E"/>
    <w:rsid w:val="00CE1FAA"/>
    <w:rsid w:val="00CE2D46"/>
    <w:rsid w:val="00CE32B7"/>
    <w:rsid w:val="00CE448B"/>
    <w:rsid w:val="00CE4D0A"/>
    <w:rsid w:val="00CE597A"/>
    <w:rsid w:val="00CE5C46"/>
    <w:rsid w:val="00CE6479"/>
    <w:rsid w:val="00CE67C0"/>
    <w:rsid w:val="00CE6934"/>
    <w:rsid w:val="00CF018B"/>
    <w:rsid w:val="00CF2060"/>
    <w:rsid w:val="00CF36CD"/>
    <w:rsid w:val="00CF3A2A"/>
    <w:rsid w:val="00CF6029"/>
    <w:rsid w:val="00CF63EA"/>
    <w:rsid w:val="00CF6562"/>
    <w:rsid w:val="00CF72E6"/>
    <w:rsid w:val="00CF7647"/>
    <w:rsid w:val="00CF7B4D"/>
    <w:rsid w:val="00CF7EFE"/>
    <w:rsid w:val="00D00EA8"/>
    <w:rsid w:val="00D02775"/>
    <w:rsid w:val="00D03A09"/>
    <w:rsid w:val="00D03D5A"/>
    <w:rsid w:val="00D04718"/>
    <w:rsid w:val="00D05028"/>
    <w:rsid w:val="00D054A0"/>
    <w:rsid w:val="00D058A8"/>
    <w:rsid w:val="00D06C2B"/>
    <w:rsid w:val="00D072FC"/>
    <w:rsid w:val="00D10FEA"/>
    <w:rsid w:val="00D11109"/>
    <w:rsid w:val="00D11501"/>
    <w:rsid w:val="00D122B2"/>
    <w:rsid w:val="00D12ABC"/>
    <w:rsid w:val="00D1379B"/>
    <w:rsid w:val="00D1448C"/>
    <w:rsid w:val="00D15A9C"/>
    <w:rsid w:val="00D1629A"/>
    <w:rsid w:val="00D167DA"/>
    <w:rsid w:val="00D168F8"/>
    <w:rsid w:val="00D16AFC"/>
    <w:rsid w:val="00D1702B"/>
    <w:rsid w:val="00D21695"/>
    <w:rsid w:val="00D21AEC"/>
    <w:rsid w:val="00D21B37"/>
    <w:rsid w:val="00D2273E"/>
    <w:rsid w:val="00D2338D"/>
    <w:rsid w:val="00D2341C"/>
    <w:rsid w:val="00D23A78"/>
    <w:rsid w:val="00D24034"/>
    <w:rsid w:val="00D24388"/>
    <w:rsid w:val="00D25310"/>
    <w:rsid w:val="00D2567D"/>
    <w:rsid w:val="00D26207"/>
    <w:rsid w:val="00D27795"/>
    <w:rsid w:val="00D303B5"/>
    <w:rsid w:val="00D310B6"/>
    <w:rsid w:val="00D31142"/>
    <w:rsid w:val="00D31E26"/>
    <w:rsid w:val="00D32283"/>
    <w:rsid w:val="00D32F67"/>
    <w:rsid w:val="00D32FE9"/>
    <w:rsid w:val="00D333D0"/>
    <w:rsid w:val="00D358C8"/>
    <w:rsid w:val="00D35D42"/>
    <w:rsid w:val="00D3702E"/>
    <w:rsid w:val="00D42576"/>
    <w:rsid w:val="00D428CA"/>
    <w:rsid w:val="00D43FAB"/>
    <w:rsid w:val="00D44708"/>
    <w:rsid w:val="00D44A36"/>
    <w:rsid w:val="00D452D3"/>
    <w:rsid w:val="00D4584B"/>
    <w:rsid w:val="00D45A4A"/>
    <w:rsid w:val="00D514BF"/>
    <w:rsid w:val="00D52159"/>
    <w:rsid w:val="00D5286A"/>
    <w:rsid w:val="00D52F48"/>
    <w:rsid w:val="00D535D6"/>
    <w:rsid w:val="00D53940"/>
    <w:rsid w:val="00D539A6"/>
    <w:rsid w:val="00D539B4"/>
    <w:rsid w:val="00D54365"/>
    <w:rsid w:val="00D55874"/>
    <w:rsid w:val="00D55BDB"/>
    <w:rsid w:val="00D571FD"/>
    <w:rsid w:val="00D57A0C"/>
    <w:rsid w:val="00D64E73"/>
    <w:rsid w:val="00D66A1C"/>
    <w:rsid w:val="00D67185"/>
    <w:rsid w:val="00D7039B"/>
    <w:rsid w:val="00D707B9"/>
    <w:rsid w:val="00D70C68"/>
    <w:rsid w:val="00D70F72"/>
    <w:rsid w:val="00D711F6"/>
    <w:rsid w:val="00D71EE6"/>
    <w:rsid w:val="00D73B78"/>
    <w:rsid w:val="00D7436B"/>
    <w:rsid w:val="00D74F62"/>
    <w:rsid w:val="00D77AF2"/>
    <w:rsid w:val="00D81389"/>
    <w:rsid w:val="00D81718"/>
    <w:rsid w:val="00D82945"/>
    <w:rsid w:val="00D84886"/>
    <w:rsid w:val="00D84EF0"/>
    <w:rsid w:val="00D859C2"/>
    <w:rsid w:val="00D85A3A"/>
    <w:rsid w:val="00D86B92"/>
    <w:rsid w:val="00D908C2"/>
    <w:rsid w:val="00D91D30"/>
    <w:rsid w:val="00D92B70"/>
    <w:rsid w:val="00D9318A"/>
    <w:rsid w:val="00D95D2F"/>
    <w:rsid w:val="00D968D1"/>
    <w:rsid w:val="00DA1810"/>
    <w:rsid w:val="00DA3DCB"/>
    <w:rsid w:val="00DA46FA"/>
    <w:rsid w:val="00DA4A32"/>
    <w:rsid w:val="00DA536F"/>
    <w:rsid w:val="00DA5CAB"/>
    <w:rsid w:val="00DA5CB3"/>
    <w:rsid w:val="00DA6988"/>
    <w:rsid w:val="00DA7421"/>
    <w:rsid w:val="00DB0B03"/>
    <w:rsid w:val="00DB144D"/>
    <w:rsid w:val="00DB1A6D"/>
    <w:rsid w:val="00DB5ABB"/>
    <w:rsid w:val="00DB62E3"/>
    <w:rsid w:val="00DB66E2"/>
    <w:rsid w:val="00DC0E75"/>
    <w:rsid w:val="00DC1124"/>
    <w:rsid w:val="00DC157F"/>
    <w:rsid w:val="00DC1B8C"/>
    <w:rsid w:val="00DC247B"/>
    <w:rsid w:val="00DC4A8F"/>
    <w:rsid w:val="00DC5478"/>
    <w:rsid w:val="00DC5D99"/>
    <w:rsid w:val="00DC799A"/>
    <w:rsid w:val="00DD00D4"/>
    <w:rsid w:val="00DD2967"/>
    <w:rsid w:val="00DD3757"/>
    <w:rsid w:val="00DD4E7A"/>
    <w:rsid w:val="00DD53F6"/>
    <w:rsid w:val="00DD67DF"/>
    <w:rsid w:val="00DD6DF7"/>
    <w:rsid w:val="00DD7B7D"/>
    <w:rsid w:val="00DE11A1"/>
    <w:rsid w:val="00DE2244"/>
    <w:rsid w:val="00DE2689"/>
    <w:rsid w:val="00DE34EC"/>
    <w:rsid w:val="00DE3FB9"/>
    <w:rsid w:val="00DE5136"/>
    <w:rsid w:val="00DE55DA"/>
    <w:rsid w:val="00DE79C8"/>
    <w:rsid w:val="00DF0421"/>
    <w:rsid w:val="00DF0AB4"/>
    <w:rsid w:val="00DF0CEC"/>
    <w:rsid w:val="00DF3226"/>
    <w:rsid w:val="00DF35A6"/>
    <w:rsid w:val="00DF4C03"/>
    <w:rsid w:val="00DF5956"/>
    <w:rsid w:val="00DF7D12"/>
    <w:rsid w:val="00DF7F2A"/>
    <w:rsid w:val="00E00175"/>
    <w:rsid w:val="00E003DC"/>
    <w:rsid w:val="00E00B7B"/>
    <w:rsid w:val="00E025A2"/>
    <w:rsid w:val="00E02B66"/>
    <w:rsid w:val="00E05F8E"/>
    <w:rsid w:val="00E06413"/>
    <w:rsid w:val="00E1065E"/>
    <w:rsid w:val="00E12851"/>
    <w:rsid w:val="00E12B8A"/>
    <w:rsid w:val="00E1324D"/>
    <w:rsid w:val="00E1570A"/>
    <w:rsid w:val="00E15B5E"/>
    <w:rsid w:val="00E160C3"/>
    <w:rsid w:val="00E17851"/>
    <w:rsid w:val="00E17913"/>
    <w:rsid w:val="00E2297A"/>
    <w:rsid w:val="00E23206"/>
    <w:rsid w:val="00E2353D"/>
    <w:rsid w:val="00E236DC"/>
    <w:rsid w:val="00E2451F"/>
    <w:rsid w:val="00E27543"/>
    <w:rsid w:val="00E30333"/>
    <w:rsid w:val="00E305C8"/>
    <w:rsid w:val="00E31E8B"/>
    <w:rsid w:val="00E325AF"/>
    <w:rsid w:val="00E3322E"/>
    <w:rsid w:val="00E33E90"/>
    <w:rsid w:val="00E34218"/>
    <w:rsid w:val="00E344C8"/>
    <w:rsid w:val="00E34D4E"/>
    <w:rsid w:val="00E35836"/>
    <w:rsid w:val="00E36093"/>
    <w:rsid w:val="00E36173"/>
    <w:rsid w:val="00E36BBF"/>
    <w:rsid w:val="00E3759B"/>
    <w:rsid w:val="00E405D1"/>
    <w:rsid w:val="00E40897"/>
    <w:rsid w:val="00E40A3C"/>
    <w:rsid w:val="00E40EA6"/>
    <w:rsid w:val="00E4141B"/>
    <w:rsid w:val="00E42D7F"/>
    <w:rsid w:val="00E434DD"/>
    <w:rsid w:val="00E43B86"/>
    <w:rsid w:val="00E4469A"/>
    <w:rsid w:val="00E453A8"/>
    <w:rsid w:val="00E479F6"/>
    <w:rsid w:val="00E51972"/>
    <w:rsid w:val="00E52140"/>
    <w:rsid w:val="00E52CAB"/>
    <w:rsid w:val="00E54190"/>
    <w:rsid w:val="00E5471E"/>
    <w:rsid w:val="00E54BEF"/>
    <w:rsid w:val="00E55428"/>
    <w:rsid w:val="00E5560C"/>
    <w:rsid w:val="00E566B4"/>
    <w:rsid w:val="00E57C35"/>
    <w:rsid w:val="00E60215"/>
    <w:rsid w:val="00E603E9"/>
    <w:rsid w:val="00E6428C"/>
    <w:rsid w:val="00E64B8B"/>
    <w:rsid w:val="00E70637"/>
    <w:rsid w:val="00E70C55"/>
    <w:rsid w:val="00E70D66"/>
    <w:rsid w:val="00E71D08"/>
    <w:rsid w:val="00E7204F"/>
    <w:rsid w:val="00E7314A"/>
    <w:rsid w:val="00E73542"/>
    <w:rsid w:val="00E74865"/>
    <w:rsid w:val="00E748C7"/>
    <w:rsid w:val="00E7632F"/>
    <w:rsid w:val="00E76AF5"/>
    <w:rsid w:val="00E774E7"/>
    <w:rsid w:val="00E7773B"/>
    <w:rsid w:val="00E77976"/>
    <w:rsid w:val="00E80CB5"/>
    <w:rsid w:val="00E8333C"/>
    <w:rsid w:val="00E83B27"/>
    <w:rsid w:val="00E84BD9"/>
    <w:rsid w:val="00E84CDA"/>
    <w:rsid w:val="00E85529"/>
    <w:rsid w:val="00E86FE9"/>
    <w:rsid w:val="00E87524"/>
    <w:rsid w:val="00E879A4"/>
    <w:rsid w:val="00E907A8"/>
    <w:rsid w:val="00E90E8F"/>
    <w:rsid w:val="00E91067"/>
    <w:rsid w:val="00E9158B"/>
    <w:rsid w:val="00E925C6"/>
    <w:rsid w:val="00E932ED"/>
    <w:rsid w:val="00E93AD3"/>
    <w:rsid w:val="00E94EA6"/>
    <w:rsid w:val="00E95584"/>
    <w:rsid w:val="00E95729"/>
    <w:rsid w:val="00E960F3"/>
    <w:rsid w:val="00E96502"/>
    <w:rsid w:val="00E96D4D"/>
    <w:rsid w:val="00EA0A24"/>
    <w:rsid w:val="00EA0EDA"/>
    <w:rsid w:val="00EA26DF"/>
    <w:rsid w:val="00EA43F9"/>
    <w:rsid w:val="00EA4743"/>
    <w:rsid w:val="00EA52FF"/>
    <w:rsid w:val="00EA588B"/>
    <w:rsid w:val="00EB088A"/>
    <w:rsid w:val="00EB0D22"/>
    <w:rsid w:val="00EB124C"/>
    <w:rsid w:val="00EB1282"/>
    <w:rsid w:val="00EB15A2"/>
    <w:rsid w:val="00EB2AB8"/>
    <w:rsid w:val="00EB54D8"/>
    <w:rsid w:val="00EB5CCF"/>
    <w:rsid w:val="00EB62D9"/>
    <w:rsid w:val="00EB640F"/>
    <w:rsid w:val="00EC07B4"/>
    <w:rsid w:val="00EC3011"/>
    <w:rsid w:val="00EC3BF3"/>
    <w:rsid w:val="00EC4489"/>
    <w:rsid w:val="00EC5181"/>
    <w:rsid w:val="00EC534B"/>
    <w:rsid w:val="00EC73F6"/>
    <w:rsid w:val="00EC743F"/>
    <w:rsid w:val="00EC79C2"/>
    <w:rsid w:val="00EC79CD"/>
    <w:rsid w:val="00ED20BD"/>
    <w:rsid w:val="00ED256D"/>
    <w:rsid w:val="00ED2971"/>
    <w:rsid w:val="00ED3364"/>
    <w:rsid w:val="00ED3F57"/>
    <w:rsid w:val="00ED4535"/>
    <w:rsid w:val="00ED46E5"/>
    <w:rsid w:val="00ED5C81"/>
    <w:rsid w:val="00ED5CDA"/>
    <w:rsid w:val="00ED7EA1"/>
    <w:rsid w:val="00EE0CB1"/>
    <w:rsid w:val="00EE119C"/>
    <w:rsid w:val="00EE5196"/>
    <w:rsid w:val="00EE5635"/>
    <w:rsid w:val="00EE5D7E"/>
    <w:rsid w:val="00EE66B7"/>
    <w:rsid w:val="00EE66FF"/>
    <w:rsid w:val="00EE6E10"/>
    <w:rsid w:val="00EE6F60"/>
    <w:rsid w:val="00EF074A"/>
    <w:rsid w:val="00EF4075"/>
    <w:rsid w:val="00EF441A"/>
    <w:rsid w:val="00EF5467"/>
    <w:rsid w:val="00EF71A3"/>
    <w:rsid w:val="00F00B92"/>
    <w:rsid w:val="00F00BBD"/>
    <w:rsid w:val="00F03499"/>
    <w:rsid w:val="00F04364"/>
    <w:rsid w:val="00F0553F"/>
    <w:rsid w:val="00F05DF1"/>
    <w:rsid w:val="00F07538"/>
    <w:rsid w:val="00F113A9"/>
    <w:rsid w:val="00F11940"/>
    <w:rsid w:val="00F14648"/>
    <w:rsid w:val="00F1532D"/>
    <w:rsid w:val="00F16088"/>
    <w:rsid w:val="00F160B5"/>
    <w:rsid w:val="00F2018E"/>
    <w:rsid w:val="00F201B5"/>
    <w:rsid w:val="00F20F12"/>
    <w:rsid w:val="00F22538"/>
    <w:rsid w:val="00F233B6"/>
    <w:rsid w:val="00F239BE"/>
    <w:rsid w:val="00F23A27"/>
    <w:rsid w:val="00F25B8E"/>
    <w:rsid w:val="00F2607E"/>
    <w:rsid w:val="00F26B7D"/>
    <w:rsid w:val="00F26C14"/>
    <w:rsid w:val="00F27842"/>
    <w:rsid w:val="00F27944"/>
    <w:rsid w:val="00F30517"/>
    <w:rsid w:val="00F30809"/>
    <w:rsid w:val="00F30EC4"/>
    <w:rsid w:val="00F31DF3"/>
    <w:rsid w:val="00F33C89"/>
    <w:rsid w:val="00F33CDA"/>
    <w:rsid w:val="00F34CDB"/>
    <w:rsid w:val="00F356E6"/>
    <w:rsid w:val="00F35D1D"/>
    <w:rsid w:val="00F365CF"/>
    <w:rsid w:val="00F36876"/>
    <w:rsid w:val="00F36919"/>
    <w:rsid w:val="00F36C4A"/>
    <w:rsid w:val="00F37262"/>
    <w:rsid w:val="00F37367"/>
    <w:rsid w:val="00F37C90"/>
    <w:rsid w:val="00F40760"/>
    <w:rsid w:val="00F4198A"/>
    <w:rsid w:val="00F41B37"/>
    <w:rsid w:val="00F459AB"/>
    <w:rsid w:val="00F46AC6"/>
    <w:rsid w:val="00F5096C"/>
    <w:rsid w:val="00F52628"/>
    <w:rsid w:val="00F53229"/>
    <w:rsid w:val="00F53789"/>
    <w:rsid w:val="00F54577"/>
    <w:rsid w:val="00F54822"/>
    <w:rsid w:val="00F55B30"/>
    <w:rsid w:val="00F5636C"/>
    <w:rsid w:val="00F5672A"/>
    <w:rsid w:val="00F56E7B"/>
    <w:rsid w:val="00F56FD4"/>
    <w:rsid w:val="00F60785"/>
    <w:rsid w:val="00F615C9"/>
    <w:rsid w:val="00F61E6E"/>
    <w:rsid w:val="00F636E2"/>
    <w:rsid w:val="00F6378F"/>
    <w:rsid w:val="00F63BE9"/>
    <w:rsid w:val="00F6417F"/>
    <w:rsid w:val="00F65474"/>
    <w:rsid w:val="00F65593"/>
    <w:rsid w:val="00F67FC5"/>
    <w:rsid w:val="00F707B4"/>
    <w:rsid w:val="00F74BED"/>
    <w:rsid w:val="00F75BD5"/>
    <w:rsid w:val="00F76913"/>
    <w:rsid w:val="00F76C5E"/>
    <w:rsid w:val="00F779BC"/>
    <w:rsid w:val="00F77B24"/>
    <w:rsid w:val="00F77EED"/>
    <w:rsid w:val="00F802C0"/>
    <w:rsid w:val="00F80A28"/>
    <w:rsid w:val="00F82095"/>
    <w:rsid w:val="00F8413E"/>
    <w:rsid w:val="00F8488F"/>
    <w:rsid w:val="00F85BAF"/>
    <w:rsid w:val="00F8609B"/>
    <w:rsid w:val="00F87307"/>
    <w:rsid w:val="00F87934"/>
    <w:rsid w:val="00F909D9"/>
    <w:rsid w:val="00F91650"/>
    <w:rsid w:val="00F91A3E"/>
    <w:rsid w:val="00F92C3F"/>
    <w:rsid w:val="00F93FBB"/>
    <w:rsid w:val="00F96D84"/>
    <w:rsid w:val="00F9712D"/>
    <w:rsid w:val="00F9715B"/>
    <w:rsid w:val="00F971B7"/>
    <w:rsid w:val="00FA0449"/>
    <w:rsid w:val="00FA10FD"/>
    <w:rsid w:val="00FA11F2"/>
    <w:rsid w:val="00FA16B9"/>
    <w:rsid w:val="00FA1CD7"/>
    <w:rsid w:val="00FA3055"/>
    <w:rsid w:val="00FA3631"/>
    <w:rsid w:val="00FA4404"/>
    <w:rsid w:val="00FA590B"/>
    <w:rsid w:val="00FA5E64"/>
    <w:rsid w:val="00FA70DF"/>
    <w:rsid w:val="00FB0E15"/>
    <w:rsid w:val="00FB13E2"/>
    <w:rsid w:val="00FB2AB0"/>
    <w:rsid w:val="00FB3A21"/>
    <w:rsid w:val="00FB3F83"/>
    <w:rsid w:val="00FB43FA"/>
    <w:rsid w:val="00FB5865"/>
    <w:rsid w:val="00FB6C75"/>
    <w:rsid w:val="00FB7FB5"/>
    <w:rsid w:val="00FC1910"/>
    <w:rsid w:val="00FC2AFD"/>
    <w:rsid w:val="00FC50F9"/>
    <w:rsid w:val="00FC5B42"/>
    <w:rsid w:val="00FC6498"/>
    <w:rsid w:val="00FD0704"/>
    <w:rsid w:val="00FD1F11"/>
    <w:rsid w:val="00FD30B0"/>
    <w:rsid w:val="00FD623B"/>
    <w:rsid w:val="00FD7CFF"/>
    <w:rsid w:val="00FE02D7"/>
    <w:rsid w:val="00FE25A1"/>
    <w:rsid w:val="00FE2C4B"/>
    <w:rsid w:val="00FE2CDE"/>
    <w:rsid w:val="00FE49A0"/>
    <w:rsid w:val="00FE4E8B"/>
    <w:rsid w:val="00FE5477"/>
    <w:rsid w:val="00FE5A60"/>
    <w:rsid w:val="00FE6CE2"/>
    <w:rsid w:val="00FE6F09"/>
    <w:rsid w:val="00FE7D1A"/>
    <w:rsid w:val="00FF022E"/>
    <w:rsid w:val="00FF1F89"/>
    <w:rsid w:val="00FF2954"/>
    <w:rsid w:val="00FF315D"/>
    <w:rsid w:val="00FF33BE"/>
    <w:rsid w:val="00FF3C6B"/>
    <w:rsid w:val="00FF4A1B"/>
    <w:rsid w:val="00FF5115"/>
    <w:rsid w:val="00FF5B69"/>
    <w:rsid w:val="00FF5DA0"/>
    <w:rsid w:val="00FF609F"/>
    <w:rsid w:val="00FF61DF"/>
    <w:rsid w:val="00FF6E9F"/>
    <w:rsid w:val="00FF70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86"/>
    <w:rPr>
      <w:rFonts w:ascii="Arial" w:hAnsi="Arial"/>
      <w:sz w:val="20"/>
      <w:szCs w:val="20"/>
    </w:rPr>
  </w:style>
  <w:style w:type="paragraph" w:styleId="Heading1">
    <w:name w:val="heading 1"/>
    <w:basedOn w:val="Normal"/>
    <w:next w:val="Normal"/>
    <w:link w:val="Heading1Char"/>
    <w:uiPriority w:val="99"/>
    <w:qFormat/>
    <w:rsid w:val="009D11E0"/>
    <w:pPr>
      <w:keepNext/>
      <w:outlineLvl w:val="0"/>
    </w:pPr>
    <w:rPr>
      <w:b/>
    </w:rPr>
  </w:style>
  <w:style w:type="paragraph" w:styleId="Heading2">
    <w:name w:val="heading 2"/>
    <w:basedOn w:val="Normal"/>
    <w:next w:val="Normal"/>
    <w:link w:val="Heading2Char"/>
    <w:uiPriority w:val="99"/>
    <w:qFormat/>
    <w:rsid w:val="009D11E0"/>
    <w:pPr>
      <w:keepNext/>
      <w:outlineLvl w:val="1"/>
    </w:pPr>
    <w:rPr>
      <w:rFonts w:ascii="Times New Roman" w:hAnsi="Times New Roman"/>
      <w:b/>
      <w:color w:val="000080"/>
    </w:rPr>
  </w:style>
  <w:style w:type="paragraph" w:styleId="Heading3">
    <w:name w:val="heading 3"/>
    <w:basedOn w:val="Normal"/>
    <w:next w:val="Normal"/>
    <w:link w:val="Heading3Char"/>
    <w:uiPriority w:val="99"/>
    <w:qFormat/>
    <w:rsid w:val="006217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33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338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3385"/>
    <w:rPr>
      <w:rFonts w:ascii="Cambria" w:hAnsi="Cambria" w:cs="Times New Roman"/>
      <w:b/>
      <w:bCs/>
      <w:sz w:val="26"/>
      <w:szCs w:val="26"/>
    </w:rPr>
  </w:style>
  <w:style w:type="character" w:styleId="CommentReference">
    <w:name w:val="annotation reference"/>
    <w:basedOn w:val="DefaultParagraphFont"/>
    <w:uiPriority w:val="99"/>
    <w:semiHidden/>
    <w:rsid w:val="009D11E0"/>
    <w:rPr>
      <w:rFonts w:cs="Times New Roman"/>
      <w:sz w:val="16"/>
    </w:rPr>
  </w:style>
  <w:style w:type="paragraph" w:styleId="CommentText">
    <w:name w:val="annotation text"/>
    <w:basedOn w:val="Normal"/>
    <w:link w:val="CommentTextChar"/>
    <w:uiPriority w:val="99"/>
    <w:semiHidden/>
    <w:rsid w:val="009D11E0"/>
  </w:style>
  <w:style w:type="character" w:customStyle="1" w:styleId="CommentTextChar">
    <w:name w:val="Comment Text Char"/>
    <w:basedOn w:val="DefaultParagraphFont"/>
    <w:link w:val="CommentText"/>
    <w:uiPriority w:val="99"/>
    <w:semiHidden/>
    <w:locked/>
    <w:rsid w:val="00053385"/>
    <w:rPr>
      <w:rFonts w:ascii="Arial" w:hAnsi="Arial" w:cs="Times New Roman"/>
      <w:sz w:val="20"/>
      <w:szCs w:val="20"/>
    </w:rPr>
  </w:style>
  <w:style w:type="paragraph" w:styleId="Footer">
    <w:name w:val="footer"/>
    <w:basedOn w:val="Normal"/>
    <w:link w:val="FooterChar"/>
    <w:uiPriority w:val="99"/>
    <w:rsid w:val="009D11E0"/>
    <w:pPr>
      <w:tabs>
        <w:tab w:val="center" w:pos="4320"/>
        <w:tab w:val="right" w:pos="8640"/>
      </w:tabs>
    </w:pPr>
  </w:style>
  <w:style w:type="character" w:customStyle="1" w:styleId="FooterChar">
    <w:name w:val="Footer Char"/>
    <w:basedOn w:val="DefaultParagraphFont"/>
    <w:link w:val="Footer"/>
    <w:uiPriority w:val="99"/>
    <w:semiHidden/>
    <w:locked/>
    <w:rsid w:val="00053385"/>
    <w:rPr>
      <w:rFonts w:ascii="Arial" w:hAnsi="Arial" w:cs="Times New Roman"/>
      <w:sz w:val="20"/>
      <w:szCs w:val="20"/>
    </w:rPr>
  </w:style>
  <w:style w:type="character" w:styleId="PageNumber">
    <w:name w:val="page number"/>
    <w:basedOn w:val="DefaultParagraphFont"/>
    <w:uiPriority w:val="99"/>
    <w:rsid w:val="009D11E0"/>
    <w:rPr>
      <w:rFonts w:cs="Times New Roman"/>
    </w:rPr>
  </w:style>
  <w:style w:type="paragraph" w:styleId="Header">
    <w:name w:val="header"/>
    <w:basedOn w:val="Normal"/>
    <w:link w:val="HeaderChar"/>
    <w:uiPriority w:val="99"/>
    <w:rsid w:val="009D11E0"/>
    <w:pPr>
      <w:tabs>
        <w:tab w:val="center" w:pos="4320"/>
        <w:tab w:val="right" w:pos="8640"/>
      </w:tabs>
    </w:pPr>
  </w:style>
  <w:style w:type="character" w:customStyle="1" w:styleId="HeaderChar">
    <w:name w:val="Header Char"/>
    <w:basedOn w:val="DefaultParagraphFont"/>
    <w:link w:val="Header"/>
    <w:uiPriority w:val="99"/>
    <w:semiHidden/>
    <w:locked/>
    <w:rsid w:val="00053385"/>
    <w:rPr>
      <w:rFonts w:ascii="Arial" w:hAnsi="Arial" w:cs="Times New Roman"/>
      <w:sz w:val="20"/>
      <w:szCs w:val="20"/>
    </w:rPr>
  </w:style>
  <w:style w:type="paragraph" w:styleId="BalloonText">
    <w:name w:val="Balloon Text"/>
    <w:basedOn w:val="Normal"/>
    <w:link w:val="BalloonTextChar"/>
    <w:uiPriority w:val="99"/>
    <w:semiHidden/>
    <w:rsid w:val="009D11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385"/>
    <w:rPr>
      <w:rFonts w:cs="Times New Roman"/>
      <w:sz w:val="2"/>
    </w:rPr>
  </w:style>
  <w:style w:type="character" w:styleId="Hyperlink">
    <w:name w:val="Hyperlink"/>
    <w:basedOn w:val="DefaultParagraphFont"/>
    <w:uiPriority w:val="99"/>
    <w:rsid w:val="009D11E0"/>
    <w:rPr>
      <w:rFonts w:cs="Times New Roman"/>
      <w:color w:val="0000FF"/>
      <w:u w:val="single"/>
    </w:rPr>
  </w:style>
  <w:style w:type="character" w:styleId="FollowedHyperlink">
    <w:name w:val="FollowedHyperlink"/>
    <w:basedOn w:val="DefaultParagraphFont"/>
    <w:uiPriority w:val="99"/>
    <w:rsid w:val="009D11E0"/>
    <w:rPr>
      <w:rFonts w:cs="Times New Roman"/>
      <w:color w:val="800080"/>
      <w:u w:val="single"/>
    </w:rPr>
  </w:style>
  <w:style w:type="paragraph" w:styleId="CommentSubject">
    <w:name w:val="annotation subject"/>
    <w:basedOn w:val="CommentText"/>
    <w:next w:val="CommentText"/>
    <w:link w:val="CommentSubjectChar"/>
    <w:uiPriority w:val="99"/>
    <w:semiHidden/>
    <w:rsid w:val="009F6378"/>
    <w:rPr>
      <w:b/>
      <w:bCs/>
    </w:rPr>
  </w:style>
  <w:style w:type="character" w:customStyle="1" w:styleId="CommentSubjectChar">
    <w:name w:val="Comment Subject Char"/>
    <w:basedOn w:val="CommentTextChar"/>
    <w:link w:val="CommentSubject"/>
    <w:uiPriority w:val="99"/>
    <w:semiHidden/>
    <w:locked/>
    <w:rsid w:val="00053385"/>
    <w:rPr>
      <w:rFonts w:ascii="Arial" w:hAnsi="Arial" w:cs="Times New Roman"/>
      <w:b/>
      <w:bCs/>
      <w:sz w:val="20"/>
      <w:szCs w:val="20"/>
    </w:rPr>
  </w:style>
  <w:style w:type="character" w:styleId="Emphasis">
    <w:name w:val="Emphasis"/>
    <w:basedOn w:val="DefaultParagraphFont"/>
    <w:uiPriority w:val="99"/>
    <w:qFormat/>
    <w:rsid w:val="009E20AC"/>
    <w:rPr>
      <w:rFonts w:cs="Times New Roman"/>
      <w:i/>
      <w:iCs/>
    </w:rPr>
  </w:style>
  <w:style w:type="table" w:styleId="TableGrid">
    <w:name w:val="Table Grid"/>
    <w:basedOn w:val="TableNormal"/>
    <w:uiPriority w:val="99"/>
    <w:rsid w:val="00B04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1236"/>
    <w:pPr>
      <w:ind w:left="720"/>
    </w:pPr>
    <w:rPr>
      <w:rFonts w:ascii="Calibri" w:hAnsi="Calibri" w:cs="Calibri"/>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86"/>
    <w:rPr>
      <w:rFonts w:ascii="Arial" w:hAnsi="Arial"/>
      <w:sz w:val="20"/>
      <w:szCs w:val="20"/>
    </w:rPr>
  </w:style>
  <w:style w:type="paragraph" w:styleId="Heading1">
    <w:name w:val="heading 1"/>
    <w:basedOn w:val="Normal"/>
    <w:next w:val="Normal"/>
    <w:link w:val="Heading1Char"/>
    <w:uiPriority w:val="99"/>
    <w:qFormat/>
    <w:rsid w:val="009D11E0"/>
    <w:pPr>
      <w:keepNext/>
      <w:outlineLvl w:val="0"/>
    </w:pPr>
    <w:rPr>
      <w:b/>
    </w:rPr>
  </w:style>
  <w:style w:type="paragraph" w:styleId="Heading2">
    <w:name w:val="heading 2"/>
    <w:basedOn w:val="Normal"/>
    <w:next w:val="Normal"/>
    <w:link w:val="Heading2Char"/>
    <w:uiPriority w:val="99"/>
    <w:qFormat/>
    <w:rsid w:val="009D11E0"/>
    <w:pPr>
      <w:keepNext/>
      <w:outlineLvl w:val="1"/>
    </w:pPr>
    <w:rPr>
      <w:rFonts w:ascii="Times New Roman" w:hAnsi="Times New Roman"/>
      <w:b/>
      <w:color w:val="000080"/>
    </w:rPr>
  </w:style>
  <w:style w:type="paragraph" w:styleId="Heading3">
    <w:name w:val="heading 3"/>
    <w:basedOn w:val="Normal"/>
    <w:next w:val="Normal"/>
    <w:link w:val="Heading3Char"/>
    <w:uiPriority w:val="99"/>
    <w:qFormat/>
    <w:rsid w:val="00621712"/>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CommentReference">
    <w:name w:val="annotation reference"/>
    <w:basedOn w:val="DefaultParagraphFont"/>
    <w:uiPriority w:val="99"/>
    <w:semiHidden/>
    <w:rsid w:val="009D11E0"/>
    <w:rPr>
      <w:rFonts w:cs="Times New Roman"/>
      <w:sz w:val="16"/>
    </w:rPr>
  </w:style>
  <w:style w:type="paragraph" w:styleId="CommentText">
    <w:name w:val="annotation text"/>
    <w:basedOn w:val="Normal"/>
    <w:link w:val="CommentTextChar"/>
    <w:uiPriority w:val="99"/>
    <w:semiHidden/>
    <w:rsid w:val="009D11E0"/>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Footer">
    <w:name w:val="footer"/>
    <w:basedOn w:val="Normal"/>
    <w:link w:val="FooterChar"/>
    <w:uiPriority w:val="99"/>
    <w:rsid w:val="009D11E0"/>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9D11E0"/>
    <w:rPr>
      <w:rFonts w:cs="Times New Roman"/>
    </w:rPr>
  </w:style>
  <w:style w:type="paragraph" w:styleId="Header">
    <w:name w:val="header"/>
    <w:basedOn w:val="Normal"/>
    <w:link w:val="HeaderChar"/>
    <w:uiPriority w:val="99"/>
    <w:rsid w:val="009D11E0"/>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BalloonText">
    <w:name w:val="Balloon Text"/>
    <w:basedOn w:val="Normal"/>
    <w:link w:val="BalloonTextChar"/>
    <w:uiPriority w:val="99"/>
    <w:semiHidden/>
    <w:rsid w:val="009D11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9D11E0"/>
    <w:rPr>
      <w:rFonts w:cs="Times New Roman"/>
      <w:color w:val="0000FF"/>
      <w:u w:val="single"/>
    </w:rPr>
  </w:style>
  <w:style w:type="character" w:styleId="FollowedHyperlink">
    <w:name w:val="FollowedHyperlink"/>
    <w:basedOn w:val="DefaultParagraphFont"/>
    <w:uiPriority w:val="99"/>
    <w:rsid w:val="009D11E0"/>
    <w:rPr>
      <w:rFonts w:cs="Times New Roman"/>
      <w:color w:val="800080"/>
      <w:u w:val="single"/>
    </w:rPr>
  </w:style>
  <w:style w:type="paragraph" w:styleId="CommentSubject">
    <w:name w:val="annotation subject"/>
    <w:basedOn w:val="CommentText"/>
    <w:next w:val="CommentText"/>
    <w:link w:val="CommentSubjectChar"/>
    <w:uiPriority w:val="99"/>
    <w:semiHidden/>
    <w:rsid w:val="009F637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character" w:styleId="Emphasis">
    <w:name w:val="Emphasis"/>
    <w:basedOn w:val="DefaultParagraphFont"/>
    <w:uiPriority w:val="99"/>
    <w:qFormat/>
    <w:rsid w:val="009E20AC"/>
    <w:rPr>
      <w:rFonts w:cs="Times New Roman"/>
      <w:i/>
      <w:iCs/>
    </w:rPr>
  </w:style>
  <w:style w:type="table" w:styleId="TableGrid">
    <w:name w:val="Table Grid"/>
    <w:basedOn w:val="TableNormal"/>
    <w:uiPriority w:val="99"/>
    <w:rsid w:val="00B04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1236"/>
    <w:pPr>
      <w:ind w:left="720"/>
    </w:pPr>
    <w:rPr>
      <w:rFonts w:ascii="Calibri" w:hAnsi="Calibri" w:cs="Calibri"/>
      <w:sz w:val="22"/>
      <w:szCs w:val="22"/>
      <w:lang w:val="en-CA" w:eastAsia="en-CA"/>
    </w:rPr>
  </w:style>
</w:styles>
</file>

<file path=word/webSettings.xml><?xml version="1.0" encoding="utf-8"?>
<w:webSettings xmlns:r="http://schemas.openxmlformats.org/officeDocument/2006/relationships" xmlns:w="http://schemas.openxmlformats.org/wordprocessingml/2006/main">
  <w:divs>
    <w:div w:id="192153483">
      <w:bodyDiv w:val="1"/>
      <w:marLeft w:val="0"/>
      <w:marRight w:val="0"/>
      <w:marTop w:val="0"/>
      <w:marBottom w:val="0"/>
      <w:divBdr>
        <w:top w:val="none" w:sz="0" w:space="0" w:color="auto"/>
        <w:left w:val="none" w:sz="0" w:space="0" w:color="auto"/>
        <w:bottom w:val="none" w:sz="0" w:space="0" w:color="auto"/>
        <w:right w:val="none" w:sz="0" w:space="0" w:color="auto"/>
      </w:divBdr>
    </w:div>
    <w:div w:id="809442689">
      <w:bodyDiv w:val="1"/>
      <w:marLeft w:val="0"/>
      <w:marRight w:val="0"/>
      <w:marTop w:val="0"/>
      <w:marBottom w:val="0"/>
      <w:divBdr>
        <w:top w:val="none" w:sz="0" w:space="0" w:color="auto"/>
        <w:left w:val="none" w:sz="0" w:space="0" w:color="auto"/>
        <w:bottom w:val="none" w:sz="0" w:space="0" w:color="auto"/>
        <w:right w:val="none" w:sz="0" w:space="0" w:color="auto"/>
      </w:divBdr>
    </w:div>
    <w:div w:id="1179125407">
      <w:marLeft w:val="0"/>
      <w:marRight w:val="0"/>
      <w:marTop w:val="0"/>
      <w:marBottom w:val="0"/>
      <w:divBdr>
        <w:top w:val="none" w:sz="0" w:space="0" w:color="auto"/>
        <w:left w:val="none" w:sz="0" w:space="0" w:color="auto"/>
        <w:bottom w:val="none" w:sz="0" w:space="0" w:color="auto"/>
        <w:right w:val="none" w:sz="0" w:space="0" w:color="auto"/>
      </w:divBdr>
    </w:div>
    <w:div w:id="1179125409">
      <w:marLeft w:val="0"/>
      <w:marRight w:val="0"/>
      <w:marTop w:val="0"/>
      <w:marBottom w:val="0"/>
      <w:divBdr>
        <w:top w:val="none" w:sz="0" w:space="0" w:color="auto"/>
        <w:left w:val="none" w:sz="0" w:space="0" w:color="auto"/>
        <w:bottom w:val="none" w:sz="0" w:space="0" w:color="auto"/>
        <w:right w:val="none" w:sz="0" w:space="0" w:color="auto"/>
      </w:divBdr>
    </w:div>
    <w:div w:id="1179125411">
      <w:marLeft w:val="0"/>
      <w:marRight w:val="0"/>
      <w:marTop w:val="0"/>
      <w:marBottom w:val="0"/>
      <w:divBdr>
        <w:top w:val="none" w:sz="0" w:space="0" w:color="auto"/>
        <w:left w:val="none" w:sz="0" w:space="0" w:color="auto"/>
        <w:bottom w:val="none" w:sz="0" w:space="0" w:color="auto"/>
        <w:right w:val="none" w:sz="0" w:space="0" w:color="auto"/>
      </w:divBdr>
    </w:div>
    <w:div w:id="1179125412">
      <w:marLeft w:val="0"/>
      <w:marRight w:val="0"/>
      <w:marTop w:val="0"/>
      <w:marBottom w:val="0"/>
      <w:divBdr>
        <w:top w:val="none" w:sz="0" w:space="0" w:color="auto"/>
        <w:left w:val="none" w:sz="0" w:space="0" w:color="auto"/>
        <w:bottom w:val="none" w:sz="0" w:space="0" w:color="auto"/>
        <w:right w:val="none" w:sz="0" w:space="0" w:color="auto"/>
      </w:divBdr>
      <w:divsChild>
        <w:div w:id="1179125416">
          <w:marLeft w:val="0"/>
          <w:marRight w:val="0"/>
          <w:marTop w:val="0"/>
          <w:marBottom w:val="0"/>
          <w:divBdr>
            <w:top w:val="none" w:sz="0" w:space="0" w:color="auto"/>
            <w:left w:val="none" w:sz="0" w:space="0" w:color="auto"/>
            <w:bottom w:val="none" w:sz="0" w:space="0" w:color="auto"/>
            <w:right w:val="none" w:sz="0" w:space="0" w:color="auto"/>
          </w:divBdr>
        </w:div>
      </w:divsChild>
    </w:div>
    <w:div w:id="1179125414">
      <w:marLeft w:val="0"/>
      <w:marRight w:val="0"/>
      <w:marTop w:val="0"/>
      <w:marBottom w:val="0"/>
      <w:divBdr>
        <w:top w:val="none" w:sz="0" w:space="0" w:color="auto"/>
        <w:left w:val="none" w:sz="0" w:space="0" w:color="auto"/>
        <w:bottom w:val="none" w:sz="0" w:space="0" w:color="auto"/>
        <w:right w:val="none" w:sz="0" w:space="0" w:color="auto"/>
      </w:divBdr>
    </w:div>
    <w:div w:id="1179125417">
      <w:marLeft w:val="0"/>
      <w:marRight w:val="0"/>
      <w:marTop w:val="0"/>
      <w:marBottom w:val="0"/>
      <w:divBdr>
        <w:top w:val="none" w:sz="0" w:space="0" w:color="auto"/>
        <w:left w:val="none" w:sz="0" w:space="0" w:color="auto"/>
        <w:bottom w:val="none" w:sz="0" w:space="0" w:color="auto"/>
        <w:right w:val="none" w:sz="0" w:space="0" w:color="auto"/>
      </w:divBdr>
      <w:divsChild>
        <w:div w:id="1179125405">
          <w:marLeft w:val="0"/>
          <w:marRight w:val="0"/>
          <w:marTop w:val="0"/>
          <w:marBottom w:val="0"/>
          <w:divBdr>
            <w:top w:val="none" w:sz="0" w:space="0" w:color="auto"/>
            <w:left w:val="none" w:sz="0" w:space="0" w:color="auto"/>
            <w:bottom w:val="none" w:sz="0" w:space="0" w:color="auto"/>
            <w:right w:val="none" w:sz="0" w:space="0" w:color="auto"/>
          </w:divBdr>
        </w:div>
      </w:divsChild>
    </w:div>
    <w:div w:id="1179125418">
      <w:marLeft w:val="0"/>
      <w:marRight w:val="0"/>
      <w:marTop w:val="0"/>
      <w:marBottom w:val="0"/>
      <w:divBdr>
        <w:top w:val="none" w:sz="0" w:space="0" w:color="auto"/>
        <w:left w:val="none" w:sz="0" w:space="0" w:color="auto"/>
        <w:bottom w:val="none" w:sz="0" w:space="0" w:color="auto"/>
        <w:right w:val="none" w:sz="0" w:space="0" w:color="auto"/>
      </w:divBdr>
      <w:divsChild>
        <w:div w:id="1179125421">
          <w:marLeft w:val="0"/>
          <w:marRight w:val="0"/>
          <w:marTop w:val="0"/>
          <w:marBottom w:val="0"/>
          <w:divBdr>
            <w:top w:val="none" w:sz="0" w:space="0" w:color="auto"/>
            <w:left w:val="none" w:sz="0" w:space="0" w:color="auto"/>
            <w:bottom w:val="none" w:sz="0" w:space="0" w:color="auto"/>
            <w:right w:val="none" w:sz="0" w:space="0" w:color="auto"/>
          </w:divBdr>
        </w:div>
        <w:div w:id="1179125441">
          <w:marLeft w:val="0"/>
          <w:marRight w:val="0"/>
          <w:marTop w:val="0"/>
          <w:marBottom w:val="0"/>
          <w:divBdr>
            <w:top w:val="none" w:sz="0" w:space="0" w:color="auto"/>
            <w:left w:val="none" w:sz="0" w:space="0" w:color="auto"/>
            <w:bottom w:val="none" w:sz="0" w:space="0" w:color="auto"/>
            <w:right w:val="none" w:sz="0" w:space="0" w:color="auto"/>
          </w:divBdr>
        </w:div>
        <w:div w:id="1179125453">
          <w:marLeft w:val="0"/>
          <w:marRight w:val="0"/>
          <w:marTop w:val="0"/>
          <w:marBottom w:val="0"/>
          <w:divBdr>
            <w:top w:val="none" w:sz="0" w:space="0" w:color="auto"/>
            <w:left w:val="none" w:sz="0" w:space="0" w:color="auto"/>
            <w:bottom w:val="none" w:sz="0" w:space="0" w:color="auto"/>
            <w:right w:val="none" w:sz="0" w:space="0" w:color="auto"/>
          </w:divBdr>
        </w:div>
      </w:divsChild>
    </w:div>
    <w:div w:id="1179125419">
      <w:marLeft w:val="0"/>
      <w:marRight w:val="0"/>
      <w:marTop w:val="0"/>
      <w:marBottom w:val="0"/>
      <w:divBdr>
        <w:top w:val="none" w:sz="0" w:space="0" w:color="auto"/>
        <w:left w:val="none" w:sz="0" w:space="0" w:color="auto"/>
        <w:bottom w:val="none" w:sz="0" w:space="0" w:color="auto"/>
        <w:right w:val="none" w:sz="0" w:space="0" w:color="auto"/>
      </w:divBdr>
      <w:divsChild>
        <w:div w:id="1179125456">
          <w:marLeft w:val="0"/>
          <w:marRight w:val="0"/>
          <w:marTop w:val="0"/>
          <w:marBottom w:val="0"/>
          <w:divBdr>
            <w:top w:val="none" w:sz="0" w:space="0" w:color="auto"/>
            <w:left w:val="none" w:sz="0" w:space="0" w:color="auto"/>
            <w:bottom w:val="none" w:sz="0" w:space="0" w:color="auto"/>
            <w:right w:val="none" w:sz="0" w:space="0" w:color="auto"/>
          </w:divBdr>
        </w:div>
      </w:divsChild>
    </w:div>
    <w:div w:id="1179125422">
      <w:marLeft w:val="0"/>
      <w:marRight w:val="0"/>
      <w:marTop w:val="0"/>
      <w:marBottom w:val="0"/>
      <w:divBdr>
        <w:top w:val="none" w:sz="0" w:space="0" w:color="auto"/>
        <w:left w:val="none" w:sz="0" w:space="0" w:color="auto"/>
        <w:bottom w:val="none" w:sz="0" w:space="0" w:color="auto"/>
        <w:right w:val="none" w:sz="0" w:space="0" w:color="auto"/>
      </w:divBdr>
    </w:div>
    <w:div w:id="1179125428">
      <w:marLeft w:val="0"/>
      <w:marRight w:val="0"/>
      <w:marTop w:val="0"/>
      <w:marBottom w:val="0"/>
      <w:divBdr>
        <w:top w:val="none" w:sz="0" w:space="0" w:color="auto"/>
        <w:left w:val="none" w:sz="0" w:space="0" w:color="auto"/>
        <w:bottom w:val="none" w:sz="0" w:space="0" w:color="auto"/>
        <w:right w:val="none" w:sz="0" w:space="0" w:color="auto"/>
      </w:divBdr>
    </w:div>
    <w:div w:id="1179125429">
      <w:marLeft w:val="0"/>
      <w:marRight w:val="0"/>
      <w:marTop w:val="0"/>
      <w:marBottom w:val="0"/>
      <w:divBdr>
        <w:top w:val="none" w:sz="0" w:space="0" w:color="auto"/>
        <w:left w:val="none" w:sz="0" w:space="0" w:color="auto"/>
        <w:bottom w:val="none" w:sz="0" w:space="0" w:color="auto"/>
        <w:right w:val="none" w:sz="0" w:space="0" w:color="auto"/>
      </w:divBdr>
      <w:divsChild>
        <w:div w:id="1179125425">
          <w:marLeft w:val="720"/>
          <w:marRight w:val="0"/>
          <w:marTop w:val="100"/>
          <w:marBottom w:val="100"/>
          <w:divBdr>
            <w:top w:val="none" w:sz="0" w:space="0" w:color="auto"/>
            <w:left w:val="none" w:sz="0" w:space="0" w:color="auto"/>
            <w:bottom w:val="none" w:sz="0" w:space="0" w:color="auto"/>
            <w:right w:val="none" w:sz="0" w:space="0" w:color="auto"/>
          </w:divBdr>
          <w:divsChild>
            <w:div w:id="1179125406">
              <w:marLeft w:val="0"/>
              <w:marRight w:val="0"/>
              <w:marTop w:val="0"/>
              <w:marBottom w:val="0"/>
              <w:divBdr>
                <w:top w:val="none" w:sz="0" w:space="0" w:color="auto"/>
                <w:left w:val="none" w:sz="0" w:space="0" w:color="auto"/>
                <w:bottom w:val="none" w:sz="0" w:space="0" w:color="auto"/>
                <w:right w:val="none" w:sz="0" w:space="0" w:color="auto"/>
              </w:divBdr>
            </w:div>
            <w:div w:id="1179125424">
              <w:marLeft w:val="0"/>
              <w:marRight w:val="0"/>
              <w:marTop w:val="0"/>
              <w:marBottom w:val="0"/>
              <w:divBdr>
                <w:top w:val="none" w:sz="0" w:space="0" w:color="auto"/>
                <w:left w:val="none" w:sz="0" w:space="0" w:color="auto"/>
                <w:bottom w:val="none" w:sz="0" w:space="0" w:color="auto"/>
                <w:right w:val="none" w:sz="0" w:space="0" w:color="auto"/>
              </w:divBdr>
            </w:div>
            <w:div w:id="1179125426">
              <w:marLeft w:val="0"/>
              <w:marRight w:val="0"/>
              <w:marTop w:val="0"/>
              <w:marBottom w:val="0"/>
              <w:divBdr>
                <w:top w:val="none" w:sz="0" w:space="0" w:color="auto"/>
                <w:left w:val="none" w:sz="0" w:space="0" w:color="auto"/>
                <w:bottom w:val="none" w:sz="0" w:space="0" w:color="auto"/>
                <w:right w:val="none" w:sz="0" w:space="0" w:color="auto"/>
              </w:divBdr>
            </w:div>
            <w:div w:id="1179125430">
              <w:marLeft w:val="0"/>
              <w:marRight w:val="0"/>
              <w:marTop w:val="0"/>
              <w:marBottom w:val="0"/>
              <w:divBdr>
                <w:top w:val="none" w:sz="0" w:space="0" w:color="auto"/>
                <w:left w:val="none" w:sz="0" w:space="0" w:color="auto"/>
                <w:bottom w:val="none" w:sz="0" w:space="0" w:color="auto"/>
                <w:right w:val="none" w:sz="0" w:space="0" w:color="auto"/>
              </w:divBdr>
            </w:div>
            <w:div w:id="1179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33">
      <w:marLeft w:val="0"/>
      <w:marRight w:val="0"/>
      <w:marTop w:val="0"/>
      <w:marBottom w:val="0"/>
      <w:divBdr>
        <w:top w:val="none" w:sz="0" w:space="0" w:color="auto"/>
        <w:left w:val="none" w:sz="0" w:space="0" w:color="auto"/>
        <w:bottom w:val="none" w:sz="0" w:space="0" w:color="auto"/>
        <w:right w:val="none" w:sz="0" w:space="0" w:color="auto"/>
      </w:divBdr>
    </w:div>
    <w:div w:id="1179125435">
      <w:marLeft w:val="0"/>
      <w:marRight w:val="0"/>
      <w:marTop w:val="0"/>
      <w:marBottom w:val="0"/>
      <w:divBdr>
        <w:top w:val="none" w:sz="0" w:space="0" w:color="auto"/>
        <w:left w:val="none" w:sz="0" w:space="0" w:color="auto"/>
        <w:bottom w:val="none" w:sz="0" w:space="0" w:color="auto"/>
        <w:right w:val="none" w:sz="0" w:space="0" w:color="auto"/>
      </w:divBdr>
      <w:divsChild>
        <w:div w:id="1179125437">
          <w:marLeft w:val="0"/>
          <w:marRight w:val="0"/>
          <w:marTop w:val="0"/>
          <w:marBottom w:val="0"/>
          <w:divBdr>
            <w:top w:val="none" w:sz="0" w:space="0" w:color="auto"/>
            <w:left w:val="none" w:sz="0" w:space="0" w:color="auto"/>
            <w:bottom w:val="none" w:sz="0" w:space="0" w:color="auto"/>
            <w:right w:val="none" w:sz="0" w:space="0" w:color="auto"/>
          </w:divBdr>
        </w:div>
      </w:divsChild>
    </w:div>
    <w:div w:id="1179125436">
      <w:marLeft w:val="0"/>
      <w:marRight w:val="0"/>
      <w:marTop w:val="0"/>
      <w:marBottom w:val="0"/>
      <w:divBdr>
        <w:top w:val="none" w:sz="0" w:space="0" w:color="auto"/>
        <w:left w:val="none" w:sz="0" w:space="0" w:color="auto"/>
        <w:bottom w:val="none" w:sz="0" w:space="0" w:color="auto"/>
        <w:right w:val="none" w:sz="0" w:space="0" w:color="auto"/>
      </w:divBdr>
    </w:div>
    <w:div w:id="1179125440">
      <w:marLeft w:val="0"/>
      <w:marRight w:val="0"/>
      <w:marTop w:val="0"/>
      <w:marBottom w:val="0"/>
      <w:divBdr>
        <w:top w:val="none" w:sz="0" w:space="0" w:color="auto"/>
        <w:left w:val="none" w:sz="0" w:space="0" w:color="auto"/>
        <w:bottom w:val="none" w:sz="0" w:space="0" w:color="auto"/>
        <w:right w:val="none" w:sz="0" w:space="0" w:color="auto"/>
      </w:divBdr>
      <w:divsChild>
        <w:div w:id="1179125431">
          <w:marLeft w:val="0"/>
          <w:marRight w:val="0"/>
          <w:marTop w:val="0"/>
          <w:marBottom w:val="0"/>
          <w:divBdr>
            <w:top w:val="none" w:sz="0" w:space="0" w:color="auto"/>
            <w:left w:val="none" w:sz="0" w:space="0" w:color="auto"/>
            <w:bottom w:val="none" w:sz="0" w:space="0" w:color="auto"/>
            <w:right w:val="none" w:sz="0" w:space="0" w:color="auto"/>
          </w:divBdr>
          <w:divsChild>
            <w:div w:id="1179125410">
              <w:marLeft w:val="0"/>
              <w:marRight w:val="0"/>
              <w:marTop w:val="0"/>
              <w:marBottom w:val="0"/>
              <w:divBdr>
                <w:top w:val="none" w:sz="0" w:space="0" w:color="auto"/>
                <w:left w:val="none" w:sz="0" w:space="0" w:color="auto"/>
                <w:bottom w:val="none" w:sz="0" w:space="0" w:color="auto"/>
                <w:right w:val="none" w:sz="0" w:space="0" w:color="auto"/>
              </w:divBdr>
            </w:div>
            <w:div w:id="1179125413">
              <w:marLeft w:val="0"/>
              <w:marRight w:val="0"/>
              <w:marTop w:val="0"/>
              <w:marBottom w:val="0"/>
              <w:divBdr>
                <w:top w:val="none" w:sz="0" w:space="0" w:color="auto"/>
                <w:left w:val="none" w:sz="0" w:space="0" w:color="auto"/>
                <w:bottom w:val="none" w:sz="0" w:space="0" w:color="auto"/>
                <w:right w:val="none" w:sz="0" w:space="0" w:color="auto"/>
              </w:divBdr>
            </w:div>
            <w:div w:id="1179125415">
              <w:marLeft w:val="0"/>
              <w:marRight w:val="0"/>
              <w:marTop w:val="0"/>
              <w:marBottom w:val="0"/>
              <w:divBdr>
                <w:top w:val="none" w:sz="0" w:space="0" w:color="auto"/>
                <w:left w:val="none" w:sz="0" w:space="0" w:color="auto"/>
                <w:bottom w:val="none" w:sz="0" w:space="0" w:color="auto"/>
                <w:right w:val="none" w:sz="0" w:space="0" w:color="auto"/>
              </w:divBdr>
            </w:div>
            <w:div w:id="1179125423">
              <w:marLeft w:val="0"/>
              <w:marRight w:val="0"/>
              <w:marTop w:val="0"/>
              <w:marBottom w:val="0"/>
              <w:divBdr>
                <w:top w:val="none" w:sz="0" w:space="0" w:color="auto"/>
                <w:left w:val="none" w:sz="0" w:space="0" w:color="auto"/>
                <w:bottom w:val="none" w:sz="0" w:space="0" w:color="auto"/>
                <w:right w:val="none" w:sz="0" w:space="0" w:color="auto"/>
              </w:divBdr>
            </w:div>
            <w:div w:id="1179125434">
              <w:marLeft w:val="0"/>
              <w:marRight w:val="0"/>
              <w:marTop w:val="0"/>
              <w:marBottom w:val="0"/>
              <w:divBdr>
                <w:top w:val="none" w:sz="0" w:space="0" w:color="auto"/>
                <w:left w:val="none" w:sz="0" w:space="0" w:color="auto"/>
                <w:bottom w:val="none" w:sz="0" w:space="0" w:color="auto"/>
                <w:right w:val="none" w:sz="0" w:space="0" w:color="auto"/>
              </w:divBdr>
            </w:div>
            <w:div w:id="1179125439">
              <w:marLeft w:val="0"/>
              <w:marRight w:val="0"/>
              <w:marTop w:val="0"/>
              <w:marBottom w:val="0"/>
              <w:divBdr>
                <w:top w:val="none" w:sz="0" w:space="0" w:color="auto"/>
                <w:left w:val="none" w:sz="0" w:space="0" w:color="auto"/>
                <w:bottom w:val="none" w:sz="0" w:space="0" w:color="auto"/>
                <w:right w:val="none" w:sz="0" w:space="0" w:color="auto"/>
              </w:divBdr>
            </w:div>
            <w:div w:id="1179125446">
              <w:marLeft w:val="0"/>
              <w:marRight w:val="0"/>
              <w:marTop w:val="0"/>
              <w:marBottom w:val="0"/>
              <w:divBdr>
                <w:top w:val="none" w:sz="0" w:space="0" w:color="auto"/>
                <w:left w:val="none" w:sz="0" w:space="0" w:color="auto"/>
                <w:bottom w:val="none" w:sz="0" w:space="0" w:color="auto"/>
                <w:right w:val="none" w:sz="0" w:space="0" w:color="auto"/>
              </w:divBdr>
            </w:div>
            <w:div w:id="1179125451">
              <w:marLeft w:val="0"/>
              <w:marRight w:val="0"/>
              <w:marTop w:val="0"/>
              <w:marBottom w:val="0"/>
              <w:divBdr>
                <w:top w:val="none" w:sz="0" w:space="0" w:color="auto"/>
                <w:left w:val="none" w:sz="0" w:space="0" w:color="auto"/>
                <w:bottom w:val="none" w:sz="0" w:space="0" w:color="auto"/>
                <w:right w:val="none" w:sz="0" w:space="0" w:color="auto"/>
              </w:divBdr>
            </w:div>
            <w:div w:id="11791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42">
      <w:marLeft w:val="0"/>
      <w:marRight w:val="0"/>
      <w:marTop w:val="0"/>
      <w:marBottom w:val="0"/>
      <w:divBdr>
        <w:top w:val="none" w:sz="0" w:space="0" w:color="auto"/>
        <w:left w:val="none" w:sz="0" w:space="0" w:color="auto"/>
        <w:bottom w:val="none" w:sz="0" w:space="0" w:color="auto"/>
        <w:right w:val="none" w:sz="0" w:space="0" w:color="auto"/>
      </w:divBdr>
    </w:div>
    <w:div w:id="1179125443">
      <w:marLeft w:val="0"/>
      <w:marRight w:val="0"/>
      <w:marTop w:val="0"/>
      <w:marBottom w:val="0"/>
      <w:divBdr>
        <w:top w:val="none" w:sz="0" w:space="0" w:color="auto"/>
        <w:left w:val="none" w:sz="0" w:space="0" w:color="auto"/>
        <w:bottom w:val="none" w:sz="0" w:space="0" w:color="auto"/>
        <w:right w:val="none" w:sz="0" w:space="0" w:color="auto"/>
      </w:divBdr>
    </w:div>
    <w:div w:id="1179125444">
      <w:marLeft w:val="0"/>
      <w:marRight w:val="0"/>
      <w:marTop w:val="0"/>
      <w:marBottom w:val="0"/>
      <w:divBdr>
        <w:top w:val="none" w:sz="0" w:space="0" w:color="auto"/>
        <w:left w:val="none" w:sz="0" w:space="0" w:color="auto"/>
        <w:bottom w:val="none" w:sz="0" w:space="0" w:color="auto"/>
        <w:right w:val="none" w:sz="0" w:space="0" w:color="auto"/>
      </w:divBdr>
    </w:div>
    <w:div w:id="1179125447">
      <w:marLeft w:val="0"/>
      <w:marRight w:val="0"/>
      <w:marTop w:val="0"/>
      <w:marBottom w:val="0"/>
      <w:divBdr>
        <w:top w:val="none" w:sz="0" w:space="0" w:color="auto"/>
        <w:left w:val="none" w:sz="0" w:space="0" w:color="auto"/>
        <w:bottom w:val="none" w:sz="0" w:space="0" w:color="auto"/>
        <w:right w:val="none" w:sz="0" w:space="0" w:color="auto"/>
      </w:divBdr>
      <w:divsChild>
        <w:div w:id="1179125427">
          <w:marLeft w:val="0"/>
          <w:marRight w:val="0"/>
          <w:marTop w:val="0"/>
          <w:marBottom w:val="0"/>
          <w:divBdr>
            <w:top w:val="none" w:sz="0" w:space="0" w:color="auto"/>
            <w:left w:val="none" w:sz="0" w:space="0" w:color="auto"/>
            <w:bottom w:val="none" w:sz="0" w:space="0" w:color="auto"/>
            <w:right w:val="none" w:sz="0" w:space="0" w:color="auto"/>
          </w:divBdr>
        </w:div>
      </w:divsChild>
    </w:div>
    <w:div w:id="1179125448">
      <w:marLeft w:val="0"/>
      <w:marRight w:val="0"/>
      <w:marTop w:val="0"/>
      <w:marBottom w:val="0"/>
      <w:divBdr>
        <w:top w:val="none" w:sz="0" w:space="0" w:color="auto"/>
        <w:left w:val="none" w:sz="0" w:space="0" w:color="auto"/>
        <w:bottom w:val="none" w:sz="0" w:space="0" w:color="auto"/>
        <w:right w:val="none" w:sz="0" w:space="0" w:color="auto"/>
      </w:divBdr>
    </w:div>
    <w:div w:id="1179125449">
      <w:marLeft w:val="0"/>
      <w:marRight w:val="0"/>
      <w:marTop w:val="0"/>
      <w:marBottom w:val="0"/>
      <w:divBdr>
        <w:top w:val="none" w:sz="0" w:space="0" w:color="auto"/>
        <w:left w:val="none" w:sz="0" w:space="0" w:color="auto"/>
        <w:bottom w:val="none" w:sz="0" w:space="0" w:color="auto"/>
        <w:right w:val="none" w:sz="0" w:space="0" w:color="auto"/>
      </w:divBdr>
      <w:divsChild>
        <w:div w:id="1179125452">
          <w:marLeft w:val="720"/>
          <w:marRight w:val="0"/>
          <w:marTop w:val="100"/>
          <w:marBottom w:val="100"/>
          <w:divBdr>
            <w:top w:val="none" w:sz="0" w:space="0" w:color="auto"/>
            <w:left w:val="none" w:sz="0" w:space="0" w:color="auto"/>
            <w:bottom w:val="none" w:sz="0" w:space="0" w:color="auto"/>
            <w:right w:val="none" w:sz="0" w:space="0" w:color="auto"/>
          </w:divBdr>
          <w:divsChild>
            <w:div w:id="1179125408">
              <w:marLeft w:val="0"/>
              <w:marRight w:val="0"/>
              <w:marTop w:val="0"/>
              <w:marBottom w:val="0"/>
              <w:divBdr>
                <w:top w:val="none" w:sz="0" w:space="0" w:color="auto"/>
                <w:left w:val="none" w:sz="0" w:space="0" w:color="auto"/>
                <w:bottom w:val="none" w:sz="0" w:space="0" w:color="auto"/>
                <w:right w:val="none" w:sz="0" w:space="0" w:color="auto"/>
              </w:divBdr>
            </w:div>
            <w:div w:id="1179125420">
              <w:marLeft w:val="0"/>
              <w:marRight w:val="0"/>
              <w:marTop w:val="0"/>
              <w:marBottom w:val="0"/>
              <w:divBdr>
                <w:top w:val="none" w:sz="0" w:space="0" w:color="auto"/>
                <w:left w:val="none" w:sz="0" w:space="0" w:color="auto"/>
                <w:bottom w:val="none" w:sz="0" w:space="0" w:color="auto"/>
                <w:right w:val="none" w:sz="0" w:space="0" w:color="auto"/>
              </w:divBdr>
            </w:div>
            <w:div w:id="1179125438">
              <w:marLeft w:val="0"/>
              <w:marRight w:val="0"/>
              <w:marTop w:val="0"/>
              <w:marBottom w:val="0"/>
              <w:divBdr>
                <w:top w:val="none" w:sz="0" w:space="0" w:color="auto"/>
                <w:left w:val="none" w:sz="0" w:space="0" w:color="auto"/>
                <w:bottom w:val="none" w:sz="0" w:space="0" w:color="auto"/>
                <w:right w:val="none" w:sz="0" w:space="0" w:color="auto"/>
              </w:divBdr>
            </w:div>
            <w:div w:id="1179125445">
              <w:marLeft w:val="0"/>
              <w:marRight w:val="0"/>
              <w:marTop w:val="0"/>
              <w:marBottom w:val="0"/>
              <w:divBdr>
                <w:top w:val="none" w:sz="0" w:space="0" w:color="auto"/>
                <w:left w:val="none" w:sz="0" w:space="0" w:color="auto"/>
                <w:bottom w:val="none" w:sz="0" w:space="0" w:color="auto"/>
                <w:right w:val="none" w:sz="0" w:space="0" w:color="auto"/>
              </w:divBdr>
            </w:div>
            <w:div w:id="11791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54">
      <w:marLeft w:val="0"/>
      <w:marRight w:val="0"/>
      <w:marTop w:val="0"/>
      <w:marBottom w:val="0"/>
      <w:divBdr>
        <w:top w:val="none" w:sz="0" w:space="0" w:color="auto"/>
        <w:left w:val="none" w:sz="0" w:space="0" w:color="auto"/>
        <w:bottom w:val="none" w:sz="0" w:space="0" w:color="auto"/>
        <w:right w:val="none" w:sz="0" w:space="0" w:color="auto"/>
      </w:divBdr>
    </w:div>
    <w:div w:id="1179125457">
      <w:marLeft w:val="0"/>
      <w:marRight w:val="0"/>
      <w:marTop w:val="0"/>
      <w:marBottom w:val="0"/>
      <w:divBdr>
        <w:top w:val="none" w:sz="0" w:space="0" w:color="auto"/>
        <w:left w:val="none" w:sz="0" w:space="0" w:color="auto"/>
        <w:bottom w:val="none" w:sz="0" w:space="0" w:color="auto"/>
        <w:right w:val="none" w:sz="0" w:space="0" w:color="auto"/>
      </w:divBdr>
    </w:div>
    <w:div w:id="1179125458">
      <w:marLeft w:val="0"/>
      <w:marRight w:val="0"/>
      <w:marTop w:val="0"/>
      <w:marBottom w:val="0"/>
      <w:divBdr>
        <w:top w:val="none" w:sz="0" w:space="0" w:color="auto"/>
        <w:left w:val="none" w:sz="0" w:space="0" w:color="auto"/>
        <w:bottom w:val="none" w:sz="0" w:space="0" w:color="auto"/>
        <w:right w:val="none" w:sz="0" w:space="0" w:color="auto"/>
      </w:divBdr>
    </w:div>
    <w:div w:id="1179125459">
      <w:marLeft w:val="0"/>
      <w:marRight w:val="0"/>
      <w:marTop w:val="0"/>
      <w:marBottom w:val="0"/>
      <w:divBdr>
        <w:top w:val="none" w:sz="0" w:space="0" w:color="auto"/>
        <w:left w:val="none" w:sz="0" w:space="0" w:color="auto"/>
        <w:bottom w:val="none" w:sz="0" w:space="0" w:color="auto"/>
        <w:right w:val="none" w:sz="0" w:space="0" w:color="auto"/>
      </w:divBdr>
    </w:div>
    <w:div w:id="1179125460">
      <w:marLeft w:val="0"/>
      <w:marRight w:val="0"/>
      <w:marTop w:val="0"/>
      <w:marBottom w:val="0"/>
      <w:divBdr>
        <w:top w:val="none" w:sz="0" w:space="0" w:color="auto"/>
        <w:left w:val="none" w:sz="0" w:space="0" w:color="auto"/>
        <w:bottom w:val="none" w:sz="0" w:space="0" w:color="auto"/>
        <w:right w:val="none" w:sz="0" w:space="0" w:color="auto"/>
      </w:divBdr>
    </w:div>
    <w:div w:id="1179125461">
      <w:marLeft w:val="0"/>
      <w:marRight w:val="0"/>
      <w:marTop w:val="0"/>
      <w:marBottom w:val="0"/>
      <w:divBdr>
        <w:top w:val="none" w:sz="0" w:space="0" w:color="auto"/>
        <w:left w:val="none" w:sz="0" w:space="0" w:color="auto"/>
        <w:bottom w:val="none" w:sz="0" w:space="0" w:color="auto"/>
        <w:right w:val="none" w:sz="0" w:space="0" w:color="auto"/>
      </w:divBdr>
    </w:div>
    <w:div w:id="1179125462">
      <w:marLeft w:val="0"/>
      <w:marRight w:val="0"/>
      <w:marTop w:val="0"/>
      <w:marBottom w:val="0"/>
      <w:divBdr>
        <w:top w:val="none" w:sz="0" w:space="0" w:color="auto"/>
        <w:left w:val="none" w:sz="0" w:space="0" w:color="auto"/>
        <w:bottom w:val="none" w:sz="0" w:space="0" w:color="auto"/>
        <w:right w:val="none" w:sz="0" w:space="0" w:color="auto"/>
      </w:divBdr>
    </w:div>
    <w:div w:id="117912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eo.ca/index.php?pid=2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heo.ca/index.php?pid=268"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ublichealthontario.ca/en/eRepository/Summary_Measures_Socioeconomic_Inequalities_Health_2013.pdf" TargetMode="External"/><Relationship Id="rId4" Type="http://schemas.openxmlformats.org/officeDocument/2006/relationships/webSettings" Target="webSettings.xml"/><Relationship Id="rId9" Type="http://schemas.openxmlformats.org/officeDocument/2006/relationships/hyperlink" Target="http://www.thecanadianfacts.org/The_Canadian_Fac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SCDHU</dc:creator>
  <cp:lastModifiedBy>sfegan</cp:lastModifiedBy>
  <cp:revision>2</cp:revision>
  <cp:lastPrinted>2010-02-05T14:07:00Z</cp:lastPrinted>
  <dcterms:created xsi:type="dcterms:W3CDTF">2014-06-19T18:31:00Z</dcterms:created>
  <dcterms:modified xsi:type="dcterms:W3CDTF">2014-06-19T18:31:00Z</dcterms:modified>
</cp:coreProperties>
</file>